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0D940">
      <w:pPr>
        <w:spacing w:after="0"/>
        <w:ind w:left="550" w:leftChars="250" w:right="440" w:rightChars="200"/>
        <w:jc w:val="center"/>
        <w:rPr>
          <w:rFonts w:ascii="Times New Roman" w:hAnsi="Times New Roman" w:cs="Times New Roman"/>
          <w:sz w:val="24"/>
          <w:szCs w:val="24"/>
        </w:rPr>
      </w:pPr>
      <w:bookmarkStart w:id="0" w:name="_Hlk152688805"/>
      <w:r>
        <w:rPr>
          <w:rFonts w:ascii="Times New Roman" w:hAnsi="Times New Roman" w:cs="Times New Roman"/>
          <w:sz w:val="24"/>
          <w:szCs w:val="24"/>
        </w:rPr>
        <w:t xml:space="preserve">Пояснительная записка </w:t>
      </w:r>
    </w:p>
    <w:p w14:paraId="00C7CB77">
      <w:pPr>
        <w:spacing w:after="0"/>
        <w:ind w:left="550" w:leftChars="250" w:right="440" w:rightChars="200"/>
        <w:jc w:val="center"/>
        <w:rPr>
          <w:rFonts w:ascii="Times New Roman" w:hAnsi="Times New Roman" w:cs="Times New Roman"/>
          <w:sz w:val="24"/>
          <w:szCs w:val="24"/>
        </w:rPr>
      </w:pPr>
      <w:r>
        <w:rPr>
          <w:rFonts w:ascii="Times New Roman" w:hAnsi="Times New Roman" w:cs="Times New Roman"/>
          <w:sz w:val="24"/>
          <w:szCs w:val="24"/>
        </w:rPr>
        <w:t>к  проекту решения Совета муниципального образования «Сельское поселение Хошеутовский сельсовет Харабалинского муниципального района Астраханской области» о внесении изменений в решение Совета муниципального образования «Хошеутовский сельсовет» от 20.12.2024 № 22 «О бюджете муниципального образования «Сельское поселение Хошеутовский сельсовет Харабалинского муниципального района Астраханской области» на 2025 год и на плановый период  2026 и 2027 годов»</w:t>
      </w:r>
    </w:p>
    <w:p w14:paraId="6A99E125">
      <w:pPr>
        <w:ind w:left="-565" w:leftChars="-257" w:right="-568" w:rightChars="-258"/>
        <w:jc w:val="both"/>
        <w:rPr>
          <w:rFonts w:ascii="Times New Roman" w:hAnsi="Times New Roman" w:cs="Times New Roman"/>
          <w:sz w:val="24"/>
          <w:szCs w:val="24"/>
        </w:rPr>
      </w:pPr>
      <w:r>
        <w:rPr>
          <w:rFonts w:ascii="Times New Roman" w:hAnsi="Times New Roman" w:cs="Times New Roman"/>
          <w:sz w:val="24"/>
          <w:szCs w:val="24"/>
        </w:rPr>
        <w:t xml:space="preserve">       </w:t>
      </w:r>
    </w:p>
    <w:p w14:paraId="6ED6A7C6">
      <w:pPr>
        <w:jc w:val="both"/>
        <w:rPr>
          <w:rFonts w:ascii="Times New Roman" w:hAnsi="Times New Roman" w:cs="Times New Roman"/>
          <w:sz w:val="24"/>
          <w:szCs w:val="24"/>
        </w:rPr>
      </w:pPr>
      <w:r>
        <w:rPr>
          <w:rFonts w:ascii="Times New Roman" w:hAnsi="Times New Roman" w:cs="Times New Roman"/>
          <w:sz w:val="24"/>
          <w:szCs w:val="24"/>
        </w:rPr>
        <w:t xml:space="preserve">        Администрация муниципального образования «Сельское поселение Хошеутовский сельсовет Харабалинского муниципального района Астраханской области» в </w:t>
      </w:r>
      <w:r>
        <w:rPr>
          <w:rFonts w:ascii="Times New Roman" w:hAnsi="Times New Roman" w:cs="Times New Roman"/>
          <w:color w:val="000000"/>
          <w:sz w:val="24"/>
          <w:szCs w:val="24"/>
        </w:rPr>
        <w:t xml:space="preserve">соответствии с ст. 185 Бюджетного кодекса РФ, </w:t>
      </w:r>
      <w:r>
        <w:rPr>
          <w:rFonts w:ascii="Times New Roman" w:hAnsi="Times New Roman" w:cs="Times New Roman"/>
          <w:sz w:val="24"/>
          <w:szCs w:val="24"/>
        </w:rPr>
        <w:t xml:space="preserve">Положением «О бюджетном процессе в муниципальном образовании «Хошеутовский сельсовет», утвержденным решением Совета муниципального образования «Хошеутовский сельсовет» от 03.05.2024 № 229 вносит на Совет муниципального образования «Сельское поселение Хошеутовский сельсовет Харабалинского муниципального района Астраханской области» </w:t>
      </w:r>
      <w:bookmarkEnd w:id="0"/>
      <w:r>
        <w:rPr>
          <w:rFonts w:ascii="Times New Roman" w:hAnsi="Times New Roman" w:cs="Times New Roman"/>
          <w:sz w:val="24"/>
          <w:szCs w:val="24"/>
        </w:rPr>
        <w:t>вопрос об изменении параметров бюджета на 2025 год по доходам, расходам и дефициту. В плановый период на 2026 и 2027 года изменения не вносятся.</w:t>
      </w:r>
    </w:p>
    <w:p w14:paraId="7F011D20">
      <w:pPr>
        <w:jc w:val="center"/>
        <w:rPr>
          <w:rFonts w:ascii="Times New Roman" w:hAnsi="Times New Roman" w:cs="Times New Roman"/>
          <w:sz w:val="24"/>
          <w:szCs w:val="24"/>
        </w:rPr>
      </w:pPr>
      <w:r>
        <w:rPr>
          <w:rFonts w:ascii="Times New Roman" w:hAnsi="Times New Roman" w:cs="Times New Roman"/>
          <w:sz w:val="24"/>
          <w:szCs w:val="24"/>
        </w:rPr>
        <w:t>1. Доходы</w:t>
      </w:r>
    </w:p>
    <w:p w14:paraId="43F2B58E">
      <w:pPr>
        <w:jc w:val="both"/>
        <w:rPr>
          <w:rFonts w:ascii="Times New Roman" w:hAnsi="Times New Roman" w:cs="Times New Roman"/>
          <w:sz w:val="24"/>
          <w:szCs w:val="24"/>
        </w:rPr>
      </w:pPr>
      <w:r>
        <w:rPr>
          <w:rFonts w:ascii="Times New Roman" w:hAnsi="Times New Roman" w:cs="Times New Roman"/>
          <w:sz w:val="24"/>
          <w:szCs w:val="24"/>
        </w:rPr>
        <w:t xml:space="preserve">       </w:t>
      </w:r>
      <w:bookmarkStart w:id="1" w:name="_Hlk152688830"/>
      <w:r>
        <w:rPr>
          <w:rFonts w:ascii="Times New Roman" w:hAnsi="Times New Roman" w:cs="Times New Roman"/>
          <w:sz w:val="24"/>
          <w:szCs w:val="24"/>
        </w:rPr>
        <w:t>Доходы бюджета увеличиваются на сумму 1364,76 тыс. руб.</w:t>
      </w:r>
    </w:p>
    <w:bookmarkEnd w:id="1"/>
    <w:p w14:paraId="5B891B93">
      <w:pPr>
        <w:jc w:val="center"/>
        <w:rPr>
          <w:rFonts w:ascii="Times New Roman" w:hAnsi="Times New Roman" w:cs="Times New Roman"/>
          <w:sz w:val="24"/>
          <w:szCs w:val="24"/>
        </w:rPr>
      </w:pPr>
      <w:r>
        <w:rPr>
          <w:rFonts w:ascii="Times New Roman" w:hAnsi="Times New Roman" w:cs="Times New Roman"/>
          <w:sz w:val="24"/>
          <w:szCs w:val="24"/>
        </w:rPr>
        <w:t>Показатели, по которым вносятся изменения:</w:t>
      </w:r>
    </w:p>
    <w:tbl>
      <w:tblPr>
        <w:tblStyle w:val="8"/>
        <w:tblW w:w="102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560"/>
        <w:gridCol w:w="1572"/>
        <w:gridCol w:w="1032"/>
        <w:gridCol w:w="3344"/>
        <w:gridCol w:w="152"/>
      </w:tblGrid>
      <w:tr w14:paraId="5F8E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2" w:type="dxa"/>
          <w:trHeight w:val="2809" w:hRule="atLeast"/>
        </w:trPr>
        <w:tc>
          <w:tcPr>
            <w:tcW w:w="2552" w:type="dxa"/>
          </w:tcPr>
          <w:p w14:paraId="1486BCDF">
            <w:pPr>
              <w:spacing w:after="0" w:line="240" w:lineRule="auto"/>
              <w:jc w:val="both"/>
              <w:rPr>
                <w:rFonts w:ascii="Times New Roman" w:hAnsi="Times New Roman" w:cs="Times New Roman"/>
              </w:rPr>
            </w:pPr>
            <w:r>
              <w:rPr>
                <w:rFonts w:ascii="Times New Roman" w:hAnsi="Times New Roman" w:cs="Times New Roman"/>
              </w:rPr>
              <w:t>Наименование показателя</w:t>
            </w:r>
          </w:p>
        </w:tc>
        <w:tc>
          <w:tcPr>
            <w:tcW w:w="1560" w:type="dxa"/>
          </w:tcPr>
          <w:p w14:paraId="1845F579">
            <w:pPr>
              <w:spacing w:after="0" w:line="240" w:lineRule="auto"/>
              <w:jc w:val="both"/>
              <w:rPr>
                <w:rFonts w:ascii="Times New Roman" w:hAnsi="Times New Roman" w:cs="Times New Roman"/>
              </w:rPr>
            </w:pPr>
            <w:r>
              <w:rPr>
                <w:rFonts w:ascii="Times New Roman" w:hAnsi="Times New Roman" w:cs="Times New Roman"/>
              </w:rPr>
              <w:t>Уточнение бюджета, утвержденное решением Совета муниципального образования» Хошеутовский сельсовет» от 07.03. 2025 № 33</w:t>
            </w:r>
          </w:p>
        </w:tc>
        <w:tc>
          <w:tcPr>
            <w:tcW w:w="1572" w:type="dxa"/>
          </w:tcPr>
          <w:p w14:paraId="68969F2B">
            <w:pPr>
              <w:spacing w:after="0" w:line="240" w:lineRule="auto"/>
              <w:jc w:val="both"/>
              <w:rPr>
                <w:rFonts w:ascii="Times New Roman" w:hAnsi="Times New Roman" w:cs="Times New Roman"/>
              </w:rPr>
            </w:pPr>
            <w:r>
              <w:rPr>
                <w:rFonts w:ascii="Times New Roman" w:hAnsi="Times New Roman" w:cs="Times New Roman"/>
              </w:rPr>
              <w:t>Проект бюджета</w:t>
            </w:r>
          </w:p>
          <w:p w14:paraId="76EF6B60">
            <w:pPr>
              <w:spacing w:after="0" w:line="240" w:lineRule="auto"/>
              <w:jc w:val="both"/>
              <w:rPr>
                <w:rFonts w:ascii="Times New Roman" w:hAnsi="Times New Roman" w:cs="Times New Roman"/>
              </w:rPr>
            </w:pPr>
            <w:r>
              <w:rPr>
                <w:rFonts w:ascii="Times New Roman" w:hAnsi="Times New Roman" w:cs="Times New Roman"/>
              </w:rPr>
              <w:t xml:space="preserve"> </w:t>
            </w:r>
          </w:p>
        </w:tc>
        <w:tc>
          <w:tcPr>
            <w:tcW w:w="1032" w:type="dxa"/>
          </w:tcPr>
          <w:p w14:paraId="75345875">
            <w:pPr>
              <w:spacing w:after="0" w:line="240" w:lineRule="auto"/>
              <w:jc w:val="both"/>
              <w:rPr>
                <w:rFonts w:ascii="Times New Roman" w:hAnsi="Times New Roman" w:cs="Times New Roman"/>
              </w:rPr>
            </w:pPr>
            <w:r>
              <w:rPr>
                <w:rFonts w:ascii="Times New Roman" w:hAnsi="Times New Roman" w:cs="Times New Roman"/>
              </w:rPr>
              <w:t>Сумма отклонения</w:t>
            </w:r>
          </w:p>
        </w:tc>
        <w:tc>
          <w:tcPr>
            <w:tcW w:w="3344" w:type="dxa"/>
          </w:tcPr>
          <w:p w14:paraId="20A2CF0D">
            <w:pPr>
              <w:spacing w:after="0" w:line="240" w:lineRule="auto"/>
              <w:jc w:val="center"/>
              <w:rPr>
                <w:rFonts w:ascii="Times New Roman" w:hAnsi="Times New Roman" w:cs="Times New Roman"/>
              </w:rPr>
            </w:pPr>
            <w:r>
              <w:rPr>
                <w:rFonts w:ascii="Times New Roman" w:hAnsi="Times New Roman" w:cs="Times New Roman"/>
              </w:rPr>
              <w:t>Причины</w:t>
            </w:r>
          </w:p>
        </w:tc>
      </w:tr>
      <w:tr w14:paraId="6B78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2" w:type="dxa"/>
        </w:trPr>
        <w:tc>
          <w:tcPr>
            <w:tcW w:w="2552" w:type="dxa"/>
          </w:tcPr>
          <w:p w14:paraId="47C1BFC6">
            <w:pPr>
              <w:pStyle w:val="9"/>
              <w:rPr>
                <w:rFonts w:ascii="Times New Roman" w:hAnsi="Times New Roman" w:cs="Times New Roman"/>
              </w:rPr>
            </w:pPr>
            <w:r>
              <w:rPr>
                <w:rFonts w:ascii="Times New Roman" w:hAnsi="Times New Roman" w:cs="Times New Roman"/>
              </w:rPr>
              <w:t>КБК</w:t>
            </w:r>
          </w:p>
          <w:p w14:paraId="0EA1A41B">
            <w:pPr>
              <w:pStyle w:val="9"/>
              <w:rPr>
                <w:rFonts w:ascii="Times New Roman" w:hAnsi="Times New Roman" w:cs="Times New Roman"/>
              </w:rPr>
            </w:pPr>
            <w:r>
              <w:rPr>
                <w:rFonts w:ascii="Times New Roman" w:hAnsi="Times New Roman" w:cs="Times New Roman"/>
              </w:rPr>
              <w:t xml:space="preserve">182 </w:t>
            </w:r>
            <w:r>
              <w:rPr>
                <w:rFonts w:ascii="Times New Roman" w:hAnsi="Times New Roman"/>
              </w:rPr>
              <w:t>101 02010 010000 110</w:t>
            </w:r>
          </w:p>
          <w:p w14:paraId="462004BE">
            <w:pPr>
              <w:pStyle w:val="9"/>
              <w:rPr>
                <w:rFonts w:ascii="Times New Roman" w:hAnsi="Times New Roman" w:cs="Times New Roman"/>
              </w:rPr>
            </w:pPr>
            <w:r>
              <w:rPr>
                <w:rFonts w:ascii="Times New Roman" w:hAnsi="Times New Roman"/>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w:t>
            </w:r>
          </w:p>
        </w:tc>
        <w:tc>
          <w:tcPr>
            <w:tcW w:w="1560" w:type="dxa"/>
          </w:tcPr>
          <w:p w14:paraId="5FD921DA">
            <w:pPr>
              <w:spacing w:after="0" w:line="240" w:lineRule="auto"/>
              <w:jc w:val="both"/>
              <w:rPr>
                <w:rFonts w:ascii="Times New Roman" w:hAnsi="Times New Roman" w:cs="Times New Roman"/>
              </w:rPr>
            </w:pPr>
            <w:r>
              <w:rPr>
                <w:rFonts w:ascii="Times New Roman" w:hAnsi="Times New Roman" w:cs="Times New Roman"/>
              </w:rPr>
              <w:t>383,5</w:t>
            </w:r>
          </w:p>
        </w:tc>
        <w:tc>
          <w:tcPr>
            <w:tcW w:w="1572" w:type="dxa"/>
          </w:tcPr>
          <w:p w14:paraId="19BDFDF1">
            <w:pPr>
              <w:spacing w:after="0" w:line="240" w:lineRule="auto"/>
              <w:jc w:val="both"/>
              <w:rPr>
                <w:rFonts w:ascii="Times New Roman" w:hAnsi="Times New Roman" w:cs="Times New Roman"/>
              </w:rPr>
            </w:pPr>
            <w:r>
              <w:rPr>
                <w:rFonts w:ascii="Times New Roman" w:hAnsi="Times New Roman" w:cs="Times New Roman"/>
              </w:rPr>
              <w:t>334,64</w:t>
            </w:r>
          </w:p>
        </w:tc>
        <w:tc>
          <w:tcPr>
            <w:tcW w:w="1032" w:type="dxa"/>
          </w:tcPr>
          <w:p w14:paraId="4949064C">
            <w:pPr>
              <w:spacing w:after="0" w:line="240" w:lineRule="auto"/>
              <w:jc w:val="both"/>
              <w:rPr>
                <w:rFonts w:ascii="Times New Roman" w:hAnsi="Times New Roman" w:cs="Times New Roman"/>
              </w:rPr>
            </w:pPr>
            <w:r>
              <w:rPr>
                <w:rFonts w:ascii="Times New Roman" w:hAnsi="Times New Roman" w:cs="Times New Roman"/>
              </w:rPr>
              <w:t>-48,86</w:t>
            </w:r>
          </w:p>
        </w:tc>
        <w:tc>
          <w:tcPr>
            <w:tcW w:w="3344" w:type="dxa"/>
          </w:tcPr>
          <w:p w14:paraId="33920E16">
            <w:pPr>
              <w:spacing w:after="0" w:line="240" w:lineRule="auto"/>
              <w:rPr>
                <w:rFonts w:ascii="Times New Roman" w:hAnsi="Times New Roman" w:cs="Times New Roman"/>
              </w:rPr>
            </w:pPr>
            <w:r>
              <w:rPr>
                <w:rFonts w:ascii="Times New Roman" w:hAnsi="Times New Roman" w:cs="Times New Roman"/>
              </w:rPr>
              <w:t>Уточнение бюджетных показателей производится в соответствии с прогнозом кассовых поступлении по доходам, предоставленным УФНС России по Астраханской области.</w:t>
            </w:r>
          </w:p>
        </w:tc>
      </w:tr>
      <w:tr w14:paraId="1240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2" w:type="dxa"/>
        </w:trPr>
        <w:tc>
          <w:tcPr>
            <w:tcW w:w="2552" w:type="dxa"/>
          </w:tcPr>
          <w:p w14:paraId="24B98428">
            <w:pPr>
              <w:pStyle w:val="9"/>
              <w:rPr>
                <w:rFonts w:ascii="Times New Roman" w:hAnsi="Times New Roman"/>
              </w:rPr>
            </w:pPr>
            <w:r>
              <w:rPr>
                <w:rFonts w:ascii="Times New Roman" w:hAnsi="Times New Roman"/>
              </w:rPr>
              <w:t>КБК 41110102020010000110Налог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560" w:type="dxa"/>
          </w:tcPr>
          <w:p w14:paraId="77C6D76E">
            <w:pPr>
              <w:spacing w:after="0" w:line="240" w:lineRule="auto"/>
              <w:jc w:val="both"/>
              <w:rPr>
                <w:rFonts w:ascii="Times New Roman" w:hAnsi="Times New Roman" w:cs="Times New Roman"/>
              </w:rPr>
            </w:pPr>
            <w:r>
              <w:rPr>
                <w:rFonts w:ascii="Times New Roman" w:hAnsi="Times New Roman" w:cs="Times New Roman"/>
              </w:rPr>
              <w:t>0,5</w:t>
            </w:r>
          </w:p>
        </w:tc>
        <w:tc>
          <w:tcPr>
            <w:tcW w:w="1572" w:type="dxa"/>
          </w:tcPr>
          <w:p w14:paraId="130FF695">
            <w:pPr>
              <w:spacing w:after="0" w:line="240" w:lineRule="auto"/>
              <w:jc w:val="both"/>
              <w:rPr>
                <w:rFonts w:ascii="Times New Roman" w:hAnsi="Times New Roman" w:cs="Times New Roman"/>
              </w:rPr>
            </w:pPr>
            <w:r>
              <w:rPr>
                <w:rFonts w:ascii="Times New Roman" w:hAnsi="Times New Roman" w:cs="Times New Roman"/>
              </w:rPr>
              <w:t>0,1</w:t>
            </w:r>
          </w:p>
        </w:tc>
        <w:tc>
          <w:tcPr>
            <w:tcW w:w="1032" w:type="dxa"/>
          </w:tcPr>
          <w:p w14:paraId="1B40D46F">
            <w:pPr>
              <w:spacing w:after="0" w:line="240" w:lineRule="auto"/>
              <w:jc w:val="both"/>
              <w:rPr>
                <w:rFonts w:ascii="Times New Roman" w:hAnsi="Times New Roman" w:cs="Times New Roman"/>
              </w:rPr>
            </w:pPr>
            <w:r>
              <w:rPr>
                <w:rFonts w:ascii="Times New Roman" w:hAnsi="Times New Roman" w:cs="Times New Roman"/>
              </w:rPr>
              <w:t>-0,4</w:t>
            </w:r>
          </w:p>
        </w:tc>
        <w:tc>
          <w:tcPr>
            <w:tcW w:w="3344" w:type="dxa"/>
          </w:tcPr>
          <w:p w14:paraId="5B0E12F1">
            <w:pPr>
              <w:spacing w:after="0" w:line="240" w:lineRule="auto"/>
              <w:rPr>
                <w:rFonts w:ascii="Times New Roman" w:hAnsi="Times New Roman" w:cs="Times New Roman"/>
              </w:rPr>
            </w:pPr>
            <w:r>
              <w:rPr>
                <w:rFonts w:ascii="Times New Roman" w:hAnsi="Times New Roman" w:cs="Times New Roman"/>
              </w:rPr>
              <w:t xml:space="preserve">Снижение первоначального прогноза связано с уменьшением налогооблагаемой базы по налогу. Уточнение рассчитано на уровне фактического поступления с учетом сроков уплаты. </w:t>
            </w:r>
          </w:p>
        </w:tc>
      </w:tr>
      <w:tr w14:paraId="5266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2" w:type="dxa"/>
        </w:trPr>
        <w:tc>
          <w:tcPr>
            <w:tcW w:w="2552" w:type="dxa"/>
          </w:tcPr>
          <w:p w14:paraId="09917E6E">
            <w:pPr>
              <w:pStyle w:val="9"/>
              <w:rPr>
                <w:rFonts w:ascii="Times New Roman" w:hAnsi="Times New Roman"/>
              </w:rPr>
            </w:pPr>
            <w:r>
              <w:rPr>
                <w:rFonts w:ascii="Times New Roman" w:hAnsi="Times New Roman"/>
              </w:rPr>
              <w:t xml:space="preserve">КБК  </w:t>
            </w:r>
          </w:p>
          <w:p w14:paraId="0C870F2F">
            <w:pPr>
              <w:pStyle w:val="9"/>
              <w:rPr>
                <w:rFonts w:ascii="Times New Roman" w:hAnsi="Times New Roman"/>
              </w:rPr>
            </w:pPr>
            <w:r>
              <w:rPr>
                <w:rFonts w:ascii="Times New Roman" w:hAnsi="Times New Roman"/>
              </w:rPr>
              <w:t>18210102210010000110Налог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560" w:type="dxa"/>
          </w:tcPr>
          <w:p w14:paraId="38CBBC36">
            <w:pPr>
              <w:spacing w:after="0" w:line="240" w:lineRule="auto"/>
              <w:jc w:val="both"/>
              <w:rPr>
                <w:rFonts w:ascii="Times New Roman" w:hAnsi="Times New Roman" w:cs="Times New Roman"/>
              </w:rPr>
            </w:pPr>
          </w:p>
        </w:tc>
        <w:tc>
          <w:tcPr>
            <w:tcW w:w="1572" w:type="dxa"/>
          </w:tcPr>
          <w:p w14:paraId="2370F99A">
            <w:pPr>
              <w:spacing w:after="0" w:line="240" w:lineRule="auto"/>
              <w:jc w:val="both"/>
              <w:rPr>
                <w:rFonts w:ascii="Times New Roman" w:hAnsi="Times New Roman" w:cs="Times New Roman"/>
              </w:rPr>
            </w:pPr>
            <w:r>
              <w:rPr>
                <w:rFonts w:ascii="Times New Roman" w:hAnsi="Times New Roman" w:cs="Times New Roman"/>
              </w:rPr>
              <w:t>22,5</w:t>
            </w:r>
          </w:p>
        </w:tc>
        <w:tc>
          <w:tcPr>
            <w:tcW w:w="1032" w:type="dxa"/>
          </w:tcPr>
          <w:p w14:paraId="1F1D3A9A">
            <w:pPr>
              <w:spacing w:after="0" w:line="240" w:lineRule="auto"/>
              <w:jc w:val="both"/>
              <w:rPr>
                <w:rFonts w:ascii="Times New Roman" w:hAnsi="Times New Roman" w:cs="Times New Roman"/>
              </w:rPr>
            </w:pPr>
            <w:r>
              <w:rPr>
                <w:rFonts w:ascii="Times New Roman" w:hAnsi="Times New Roman" w:cs="Times New Roman"/>
              </w:rPr>
              <w:t>22,5</w:t>
            </w:r>
          </w:p>
        </w:tc>
        <w:tc>
          <w:tcPr>
            <w:tcW w:w="3344" w:type="dxa"/>
          </w:tcPr>
          <w:p w14:paraId="27435F27">
            <w:pPr>
              <w:spacing w:after="0" w:line="240" w:lineRule="auto"/>
              <w:rPr>
                <w:rFonts w:ascii="Times New Roman" w:hAnsi="Times New Roman" w:cs="Times New Roman"/>
              </w:rPr>
            </w:pPr>
            <w:r>
              <w:rPr>
                <w:rFonts w:ascii="Times New Roman" w:hAnsi="Times New Roman" w:cs="Times New Roman"/>
              </w:rPr>
              <w:t>Уточнение бюджетных показателей с учетом фактического поступления за 10 месяцев и ожидаемого исполнения за декабрь месяц текущего года</w:t>
            </w:r>
          </w:p>
        </w:tc>
      </w:tr>
      <w:tr w14:paraId="56CA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2" w:type="dxa"/>
          <w:trHeight w:val="90" w:hRule="atLeast"/>
        </w:trPr>
        <w:tc>
          <w:tcPr>
            <w:tcW w:w="2552" w:type="dxa"/>
          </w:tcPr>
          <w:p w14:paraId="484745CC">
            <w:pPr>
              <w:pStyle w:val="9"/>
              <w:rPr>
                <w:rFonts w:ascii="Times New Roman" w:hAnsi="Times New Roman" w:cs="Times New Roman"/>
              </w:rPr>
            </w:pPr>
            <w:r>
              <w:rPr>
                <w:rFonts w:ascii="Times New Roman" w:hAnsi="Times New Roman" w:cs="Times New Roman"/>
              </w:rPr>
              <w:t>КБК</w:t>
            </w:r>
          </w:p>
          <w:p w14:paraId="4F9C1093">
            <w:pPr>
              <w:pStyle w:val="9"/>
              <w:rPr>
                <w:rFonts w:ascii="Times New Roman" w:hAnsi="Times New Roman" w:cs="Times New Roman"/>
              </w:rPr>
            </w:pPr>
            <w:r>
              <w:rPr>
                <w:rFonts w:ascii="Times New Roman" w:hAnsi="Times New Roman" w:cs="Times New Roman"/>
              </w:rPr>
              <w:t>182105 03010 01 0000 110</w:t>
            </w:r>
          </w:p>
          <w:p w14:paraId="13650ABC">
            <w:pPr>
              <w:pStyle w:val="9"/>
              <w:rPr>
                <w:rFonts w:ascii="Times New Roman" w:hAnsi="Times New Roman" w:cs="Times New Roman"/>
              </w:rPr>
            </w:pPr>
            <w:r>
              <w:rPr>
                <w:rFonts w:ascii="Times New Roman" w:hAnsi="Times New Roman" w:cs="Times New Roman"/>
              </w:rPr>
              <w:t>Единый сельскохозяйственный налог</w:t>
            </w:r>
          </w:p>
        </w:tc>
        <w:tc>
          <w:tcPr>
            <w:tcW w:w="1560" w:type="dxa"/>
          </w:tcPr>
          <w:p w14:paraId="1F664B79">
            <w:pPr>
              <w:spacing w:after="0" w:line="240" w:lineRule="auto"/>
              <w:jc w:val="both"/>
              <w:rPr>
                <w:rFonts w:ascii="Times New Roman" w:hAnsi="Times New Roman" w:cs="Times New Roman"/>
              </w:rPr>
            </w:pPr>
            <w:r>
              <w:rPr>
                <w:rFonts w:ascii="Times New Roman" w:hAnsi="Times New Roman" w:cs="Times New Roman"/>
              </w:rPr>
              <w:t>32,1</w:t>
            </w:r>
          </w:p>
        </w:tc>
        <w:tc>
          <w:tcPr>
            <w:tcW w:w="1572" w:type="dxa"/>
          </w:tcPr>
          <w:p w14:paraId="47F95254">
            <w:pPr>
              <w:spacing w:after="0" w:line="240" w:lineRule="auto"/>
              <w:jc w:val="both"/>
              <w:rPr>
                <w:rFonts w:ascii="Times New Roman" w:hAnsi="Times New Roman" w:cs="Times New Roman"/>
              </w:rPr>
            </w:pPr>
            <w:r>
              <w:rPr>
                <w:rFonts w:ascii="Times New Roman" w:hAnsi="Times New Roman" w:cs="Times New Roman"/>
              </w:rPr>
              <w:t>44,10</w:t>
            </w:r>
          </w:p>
        </w:tc>
        <w:tc>
          <w:tcPr>
            <w:tcW w:w="1032" w:type="dxa"/>
          </w:tcPr>
          <w:p w14:paraId="4F458642">
            <w:pPr>
              <w:spacing w:after="0" w:line="240" w:lineRule="auto"/>
              <w:jc w:val="both"/>
              <w:rPr>
                <w:rFonts w:ascii="Times New Roman" w:hAnsi="Times New Roman" w:cs="Times New Roman"/>
              </w:rPr>
            </w:pPr>
            <w:r>
              <w:rPr>
                <w:rFonts w:ascii="Times New Roman" w:hAnsi="Times New Roman" w:cs="Times New Roman"/>
              </w:rPr>
              <w:t>12,0</w:t>
            </w:r>
          </w:p>
        </w:tc>
        <w:tc>
          <w:tcPr>
            <w:tcW w:w="3344" w:type="dxa"/>
          </w:tcPr>
          <w:p w14:paraId="3C2AE56A">
            <w:pPr>
              <w:spacing w:after="0" w:line="240" w:lineRule="auto"/>
              <w:rPr>
                <w:rFonts w:ascii="Times New Roman" w:hAnsi="Times New Roman" w:cs="Times New Roman"/>
              </w:rPr>
            </w:pPr>
            <w:r>
              <w:rPr>
                <w:rFonts w:ascii="Times New Roman" w:hAnsi="Times New Roman" w:cs="Times New Roman"/>
              </w:rPr>
              <w:t>Уточнение бюджетных показателей производится в соответствии с прогнозом кассовых поступлении по доходам, предоставленным УФНС России по Астраханской области.</w:t>
            </w:r>
          </w:p>
        </w:tc>
      </w:tr>
      <w:tr w14:paraId="23BB9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2" w:type="dxa"/>
        </w:trPr>
        <w:tc>
          <w:tcPr>
            <w:tcW w:w="2552" w:type="dxa"/>
          </w:tcPr>
          <w:p w14:paraId="4F7B6B2C">
            <w:pPr>
              <w:spacing w:after="0" w:line="240" w:lineRule="auto"/>
              <w:rPr>
                <w:rFonts w:ascii="Times New Roman" w:hAnsi="Times New Roman" w:cs="Times New Roman"/>
              </w:rPr>
            </w:pPr>
            <w:r>
              <w:rPr>
                <w:rFonts w:ascii="Times New Roman" w:hAnsi="Times New Roman" w:cs="Times New Roman"/>
              </w:rPr>
              <w:t>КБК</w:t>
            </w:r>
          </w:p>
          <w:p w14:paraId="71159B99">
            <w:pPr>
              <w:spacing w:after="0" w:line="240" w:lineRule="auto"/>
              <w:rPr>
                <w:rFonts w:ascii="Times New Roman" w:hAnsi="Times New Roman" w:cs="Times New Roman"/>
              </w:rPr>
            </w:pPr>
            <w:r>
              <w:rPr>
                <w:rFonts w:ascii="Times New Roman" w:hAnsi="Times New Roman" w:cs="Times New Roman"/>
              </w:rPr>
              <w:t>182 10601030 100000 110</w:t>
            </w:r>
          </w:p>
          <w:p w14:paraId="2519A70F">
            <w:pPr>
              <w:spacing w:after="0" w:line="240" w:lineRule="auto"/>
              <w:rPr>
                <w:rFonts w:ascii="Times New Roman" w:hAnsi="Times New Roman" w:cs="Times New Roman"/>
              </w:rPr>
            </w:pPr>
            <w:r>
              <w:rPr>
                <w:rFonts w:ascii="Times New Roman" w:hAnsi="Times New Roman"/>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60" w:type="dxa"/>
          </w:tcPr>
          <w:p w14:paraId="555F0072">
            <w:pPr>
              <w:spacing w:after="0" w:line="240" w:lineRule="auto"/>
              <w:jc w:val="both"/>
              <w:rPr>
                <w:rFonts w:ascii="Times New Roman" w:hAnsi="Times New Roman" w:cs="Times New Roman"/>
              </w:rPr>
            </w:pPr>
            <w:r>
              <w:rPr>
                <w:rFonts w:ascii="Times New Roman" w:hAnsi="Times New Roman" w:cs="Times New Roman"/>
                <w:i/>
              </w:rPr>
              <w:t>153,0</w:t>
            </w:r>
          </w:p>
        </w:tc>
        <w:tc>
          <w:tcPr>
            <w:tcW w:w="1572" w:type="dxa"/>
          </w:tcPr>
          <w:p w14:paraId="2E976715">
            <w:pPr>
              <w:spacing w:after="0" w:line="240" w:lineRule="auto"/>
              <w:jc w:val="both"/>
              <w:rPr>
                <w:rFonts w:ascii="Times New Roman" w:hAnsi="Times New Roman" w:cs="Times New Roman"/>
                <w:i/>
              </w:rPr>
            </w:pPr>
            <w:r>
              <w:rPr>
                <w:rFonts w:ascii="Times New Roman" w:hAnsi="Times New Roman" w:cs="Times New Roman"/>
                <w:i/>
              </w:rPr>
              <w:t>193,0</w:t>
            </w:r>
          </w:p>
        </w:tc>
        <w:tc>
          <w:tcPr>
            <w:tcW w:w="1032" w:type="dxa"/>
          </w:tcPr>
          <w:p w14:paraId="02CBAD58">
            <w:pPr>
              <w:spacing w:after="0" w:line="240" w:lineRule="auto"/>
              <w:jc w:val="both"/>
              <w:rPr>
                <w:rFonts w:ascii="Times New Roman" w:hAnsi="Times New Roman" w:cs="Times New Roman"/>
              </w:rPr>
            </w:pPr>
            <w:r>
              <w:rPr>
                <w:rFonts w:ascii="Times New Roman" w:hAnsi="Times New Roman" w:cs="Times New Roman"/>
              </w:rPr>
              <w:t>40,0</w:t>
            </w:r>
          </w:p>
        </w:tc>
        <w:tc>
          <w:tcPr>
            <w:tcW w:w="3344" w:type="dxa"/>
          </w:tcPr>
          <w:p w14:paraId="6CCA970D">
            <w:pPr>
              <w:spacing w:after="0" w:line="240" w:lineRule="auto"/>
              <w:rPr>
                <w:rFonts w:ascii="Times New Roman" w:hAnsi="Times New Roman" w:cs="Times New Roman"/>
              </w:rPr>
            </w:pPr>
            <w:r>
              <w:rPr>
                <w:rFonts w:ascii="Times New Roman" w:hAnsi="Times New Roman" w:cs="Times New Roman"/>
              </w:rPr>
              <w:t>Уточнение бюджетных показателей производится в соответствии с прогнозом кассовых поступлении по доходам, предоставленным УФНС России по Астраханской области.</w:t>
            </w:r>
          </w:p>
        </w:tc>
      </w:tr>
      <w:tr w14:paraId="289C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2" w:type="dxa"/>
        </w:trPr>
        <w:tc>
          <w:tcPr>
            <w:tcW w:w="2552" w:type="dxa"/>
          </w:tcPr>
          <w:p w14:paraId="785C11B4">
            <w:pPr>
              <w:pStyle w:val="9"/>
              <w:rPr>
                <w:rFonts w:ascii="Times New Roman" w:hAnsi="Times New Roman" w:cs="Times New Roman"/>
              </w:rPr>
            </w:pPr>
            <w:r>
              <w:rPr>
                <w:rFonts w:ascii="Times New Roman" w:hAnsi="Times New Roman" w:cs="Times New Roman"/>
              </w:rPr>
              <w:t>КБК</w:t>
            </w:r>
          </w:p>
          <w:p w14:paraId="798C7D4B">
            <w:pPr>
              <w:pStyle w:val="9"/>
              <w:rPr>
                <w:rFonts w:ascii="Times New Roman" w:hAnsi="Times New Roman" w:cs="Times New Roman"/>
              </w:rPr>
            </w:pPr>
            <w:r>
              <w:rPr>
                <w:rFonts w:ascii="Times New Roman" w:hAnsi="Times New Roman" w:cs="Times New Roman"/>
              </w:rPr>
              <w:t>182 106 06030 00 0000110</w:t>
            </w:r>
          </w:p>
          <w:p w14:paraId="5B624682">
            <w:pPr>
              <w:pStyle w:val="9"/>
              <w:rPr>
                <w:rFonts w:ascii="Times New Roman" w:hAnsi="Times New Roman" w:cs="Times New Roman"/>
              </w:rPr>
            </w:pPr>
            <w:r>
              <w:rPr>
                <w:rFonts w:ascii="Times New Roman" w:hAnsi="Times New Roman" w:cs="Times New Roman"/>
              </w:rPr>
              <w:t>Земельный налог с организаций</w:t>
            </w:r>
          </w:p>
        </w:tc>
        <w:tc>
          <w:tcPr>
            <w:tcW w:w="1560" w:type="dxa"/>
          </w:tcPr>
          <w:p w14:paraId="1440E276">
            <w:pPr>
              <w:spacing w:after="0" w:line="240" w:lineRule="auto"/>
              <w:jc w:val="both"/>
              <w:rPr>
                <w:rFonts w:ascii="Times New Roman" w:hAnsi="Times New Roman" w:cs="Times New Roman"/>
              </w:rPr>
            </w:pPr>
            <w:r>
              <w:rPr>
                <w:rFonts w:ascii="Times New Roman" w:hAnsi="Times New Roman" w:cs="Times New Roman"/>
              </w:rPr>
              <w:t>824,0</w:t>
            </w:r>
          </w:p>
        </w:tc>
        <w:tc>
          <w:tcPr>
            <w:tcW w:w="1572" w:type="dxa"/>
          </w:tcPr>
          <w:p w14:paraId="48A00F07">
            <w:pPr>
              <w:spacing w:after="0" w:line="240" w:lineRule="auto"/>
              <w:jc w:val="both"/>
              <w:rPr>
                <w:rFonts w:ascii="Times New Roman" w:hAnsi="Times New Roman" w:cs="Times New Roman"/>
              </w:rPr>
            </w:pPr>
            <w:r>
              <w:rPr>
                <w:rFonts w:ascii="Times New Roman" w:hAnsi="Times New Roman" w:cs="Times New Roman"/>
              </w:rPr>
              <w:t>550,0</w:t>
            </w:r>
          </w:p>
        </w:tc>
        <w:tc>
          <w:tcPr>
            <w:tcW w:w="1032" w:type="dxa"/>
          </w:tcPr>
          <w:p w14:paraId="4D66F002">
            <w:pPr>
              <w:spacing w:after="0" w:line="240" w:lineRule="auto"/>
              <w:jc w:val="both"/>
              <w:rPr>
                <w:rFonts w:ascii="Times New Roman" w:hAnsi="Times New Roman" w:cs="Times New Roman"/>
              </w:rPr>
            </w:pPr>
            <w:r>
              <w:rPr>
                <w:rFonts w:ascii="Times New Roman" w:hAnsi="Times New Roman" w:cs="Times New Roman"/>
              </w:rPr>
              <w:t>-274,0</w:t>
            </w:r>
          </w:p>
        </w:tc>
        <w:tc>
          <w:tcPr>
            <w:tcW w:w="3344" w:type="dxa"/>
          </w:tcPr>
          <w:p w14:paraId="4B2CE0BF">
            <w:pPr>
              <w:spacing w:after="0" w:line="240" w:lineRule="auto"/>
              <w:rPr>
                <w:rFonts w:ascii="Times New Roman" w:hAnsi="Times New Roman" w:cs="Times New Roman"/>
              </w:rPr>
            </w:pPr>
            <w:r>
              <w:rPr>
                <w:rFonts w:ascii="Times New Roman" w:hAnsi="Times New Roman" w:cs="Times New Roman"/>
              </w:rPr>
              <w:t>Согласно кассовому плану, предоставленному главным администратором доходов прогнозируемое поступление по налогу составляет 516,0 тыс. рублей. Учитывая, что фактическое поступление по налогу на 01.11.2025 составило 516,66 тыс. рублей, уточняемая сумма налога составила 550,0 тыс. рублей</w:t>
            </w:r>
          </w:p>
        </w:tc>
      </w:tr>
      <w:tr w14:paraId="1D333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2" w:type="dxa"/>
        </w:trPr>
        <w:tc>
          <w:tcPr>
            <w:tcW w:w="2552" w:type="dxa"/>
          </w:tcPr>
          <w:p w14:paraId="3A9759D9">
            <w:pPr>
              <w:spacing w:after="0" w:line="240" w:lineRule="auto"/>
            </w:pPr>
            <w:r>
              <w:rPr>
                <w:rFonts w:ascii="Times New Roman" w:hAnsi="Times New Roman" w:cs="Times New Roman"/>
              </w:rPr>
              <w:t>КБК</w:t>
            </w:r>
            <w:r>
              <w:t xml:space="preserve"> </w:t>
            </w:r>
          </w:p>
          <w:p w14:paraId="064CA0EE">
            <w:pPr>
              <w:pStyle w:val="9"/>
              <w:rPr>
                <w:rFonts w:ascii="Times New Roman" w:hAnsi="Times New Roman" w:cs="Times New Roman"/>
              </w:rPr>
            </w:pPr>
            <w:r>
              <w:rPr>
                <w:rFonts w:ascii="Times New Roman" w:hAnsi="Times New Roman" w:cs="Times New Roman"/>
              </w:rPr>
              <w:t xml:space="preserve">182 </w:t>
            </w:r>
            <w:r>
              <w:rPr>
                <w:rFonts w:ascii="Times New Roman" w:hAnsi="Times New Roman"/>
              </w:rPr>
              <w:t>106 06043 10 0000110</w:t>
            </w:r>
          </w:p>
          <w:p w14:paraId="4612E9B7">
            <w:pPr>
              <w:spacing w:after="0" w:line="240" w:lineRule="auto"/>
              <w:rPr>
                <w:rFonts w:ascii="Times New Roman" w:hAnsi="Times New Roman" w:cs="Times New Roman"/>
              </w:rPr>
            </w:pPr>
            <w:r>
              <w:rPr>
                <w:rFonts w:ascii="Times New Roman" w:hAnsi="Times New Roman"/>
              </w:rPr>
              <w:t>Земельный налог с физических лиц, обладающих земельным участком, расположенным в границах сельских поселений</w:t>
            </w:r>
          </w:p>
        </w:tc>
        <w:tc>
          <w:tcPr>
            <w:tcW w:w="1560" w:type="dxa"/>
          </w:tcPr>
          <w:p w14:paraId="0346ECAF">
            <w:pPr>
              <w:spacing w:after="0" w:line="240" w:lineRule="auto"/>
              <w:jc w:val="both"/>
              <w:rPr>
                <w:rFonts w:ascii="Times New Roman" w:hAnsi="Times New Roman" w:cs="Times New Roman"/>
              </w:rPr>
            </w:pPr>
            <w:r>
              <w:rPr>
                <w:rFonts w:ascii="Times New Roman" w:hAnsi="Times New Roman" w:cs="Times New Roman"/>
              </w:rPr>
              <w:t>329,0</w:t>
            </w:r>
          </w:p>
        </w:tc>
        <w:tc>
          <w:tcPr>
            <w:tcW w:w="1572" w:type="dxa"/>
          </w:tcPr>
          <w:p w14:paraId="61993EFC">
            <w:pPr>
              <w:spacing w:after="0" w:line="240" w:lineRule="auto"/>
              <w:jc w:val="both"/>
              <w:rPr>
                <w:rFonts w:ascii="Times New Roman" w:hAnsi="Times New Roman" w:cs="Times New Roman"/>
              </w:rPr>
            </w:pPr>
            <w:r>
              <w:rPr>
                <w:rFonts w:ascii="Times New Roman" w:hAnsi="Times New Roman" w:cs="Times New Roman"/>
              </w:rPr>
              <w:t>358,0</w:t>
            </w:r>
          </w:p>
        </w:tc>
        <w:tc>
          <w:tcPr>
            <w:tcW w:w="1032" w:type="dxa"/>
          </w:tcPr>
          <w:p w14:paraId="3EB329F6">
            <w:pPr>
              <w:spacing w:after="0" w:line="240" w:lineRule="auto"/>
              <w:jc w:val="both"/>
              <w:rPr>
                <w:rFonts w:ascii="Times New Roman" w:hAnsi="Times New Roman" w:cs="Times New Roman"/>
              </w:rPr>
            </w:pPr>
            <w:r>
              <w:rPr>
                <w:rFonts w:ascii="Times New Roman" w:hAnsi="Times New Roman" w:cs="Times New Roman"/>
              </w:rPr>
              <w:t>29,0</w:t>
            </w:r>
          </w:p>
        </w:tc>
        <w:tc>
          <w:tcPr>
            <w:tcW w:w="3344" w:type="dxa"/>
          </w:tcPr>
          <w:p w14:paraId="6DED7E2B">
            <w:pPr>
              <w:spacing w:after="0" w:line="240" w:lineRule="auto"/>
              <w:rPr>
                <w:rFonts w:ascii="Times New Roman" w:hAnsi="Times New Roman" w:cs="Times New Roman"/>
              </w:rPr>
            </w:pPr>
            <w:r>
              <w:rPr>
                <w:rFonts w:ascii="Times New Roman" w:hAnsi="Times New Roman" w:cs="Times New Roman"/>
              </w:rPr>
              <w:t>Уточнение бюджетных показателей производится в соответствии с кассовым планом предоставленным главным администратором доходов ФНС России по  Астраханской области.</w:t>
            </w:r>
          </w:p>
        </w:tc>
      </w:tr>
      <w:tr w14:paraId="6456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28526ADF">
            <w:pPr>
              <w:spacing w:after="0" w:line="240" w:lineRule="auto"/>
              <w:rPr>
                <w:rFonts w:ascii="Times New Roman" w:hAnsi="Times New Roman"/>
              </w:rPr>
            </w:pPr>
            <w:r>
              <w:rPr>
                <w:rFonts w:ascii="Times New Roman" w:hAnsi="Times New Roman"/>
              </w:rPr>
              <w:t xml:space="preserve">КБК </w:t>
            </w:r>
          </w:p>
          <w:p w14:paraId="72A14881">
            <w:pPr>
              <w:spacing w:after="0" w:line="240" w:lineRule="auto"/>
              <w:rPr>
                <w:rFonts w:ascii="Times New Roman" w:hAnsi="Times New Roman" w:cs="Times New Roman"/>
              </w:rPr>
            </w:pPr>
            <w:r>
              <w:rPr>
                <w:rFonts w:ascii="Times New Roman" w:hAnsi="Times New Roman"/>
              </w:rPr>
              <w:t>4110804020010000110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60" w:type="dxa"/>
          </w:tcPr>
          <w:p w14:paraId="68D008F3">
            <w:pPr>
              <w:spacing w:after="0" w:line="240" w:lineRule="auto"/>
              <w:jc w:val="both"/>
              <w:rPr>
                <w:rFonts w:ascii="Times New Roman" w:hAnsi="Times New Roman" w:cs="Times New Roman"/>
              </w:rPr>
            </w:pPr>
            <w:r>
              <w:rPr>
                <w:rFonts w:ascii="Times New Roman" w:hAnsi="Times New Roman" w:cs="Times New Roman"/>
              </w:rPr>
              <w:t>4,0</w:t>
            </w:r>
          </w:p>
        </w:tc>
        <w:tc>
          <w:tcPr>
            <w:tcW w:w="1572" w:type="dxa"/>
          </w:tcPr>
          <w:p w14:paraId="36534EE0">
            <w:pPr>
              <w:spacing w:after="0" w:line="240" w:lineRule="auto"/>
              <w:jc w:val="both"/>
              <w:rPr>
                <w:rFonts w:ascii="Times New Roman" w:hAnsi="Times New Roman" w:cs="Times New Roman"/>
              </w:rPr>
            </w:pPr>
            <w:r>
              <w:rPr>
                <w:rFonts w:ascii="Times New Roman" w:hAnsi="Times New Roman" w:cs="Times New Roman"/>
              </w:rPr>
              <w:t>5,6</w:t>
            </w:r>
          </w:p>
        </w:tc>
        <w:tc>
          <w:tcPr>
            <w:tcW w:w="1032" w:type="dxa"/>
          </w:tcPr>
          <w:p w14:paraId="3BCBE95E">
            <w:pPr>
              <w:spacing w:after="0" w:line="240" w:lineRule="auto"/>
              <w:jc w:val="both"/>
              <w:rPr>
                <w:rFonts w:ascii="Times New Roman" w:hAnsi="Times New Roman" w:cs="Times New Roman"/>
              </w:rPr>
            </w:pPr>
            <w:r>
              <w:rPr>
                <w:rFonts w:ascii="Times New Roman" w:hAnsi="Times New Roman" w:cs="Times New Roman"/>
              </w:rPr>
              <w:t>1,6</w:t>
            </w:r>
          </w:p>
        </w:tc>
        <w:tc>
          <w:tcPr>
            <w:tcW w:w="3496" w:type="dxa"/>
            <w:gridSpan w:val="2"/>
          </w:tcPr>
          <w:p w14:paraId="62C0F7ED">
            <w:pPr>
              <w:spacing w:after="0" w:line="240" w:lineRule="auto"/>
              <w:rPr>
                <w:rFonts w:ascii="Times New Roman" w:hAnsi="Times New Roman" w:cs="Times New Roman"/>
              </w:rPr>
            </w:pPr>
            <w:r>
              <w:rPr>
                <w:rFonts w:ascii="Times New Roman" w:hAnsi="Times New Roman" w:cs="Times New Roman"/>
              </w:rPr>
              <w:t>Уточнение бюджетных показателей с учетом фактического поступления за 10 месяцев и ожидаемого исполнения за ноябрь - декабрь месяц текущего года</w:t>
            </w:r>
          </w:p>
        </w:tc>
      </w:tr>
      <w:tr w14:paraId="6C7D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9A7AE5D">
            <w:pPr>
              <w:spacing w:after="0" w:line="240" w:lineRule="auto"/>
              <w:rPr>
                <w:rFonts w:ascii="Times New Roman" w:hAnsi="Times New Roman"/>
              </w:rPr>
            </w:pPr>
            <w:r>
              <w:rPr>
                <w:rFonts w:ascii="Times New Roman" w:hAnsi="Times New Roman"/>
              </w:rPr>
              <w:t xml:space="preserve">КБК 41111105025100000 120 </w:t>
            </w:r>
          </w:p>
          <w:p w14:paraId="21F4EB64">
            <w:pPr>
              <w:spacing w:after="0" w:line="240" w:lineRule="auto"/>
              <w:rPr>
                <w:rFonts w:ascii="Times New Roman" w:hAnsi="Times New Roman" w:cs="Times New Roman"/>
              </w:rPr>
            </w:pPr>
            <w:r>
              <w:rPr>
                <w:rFonts w:ascii="Times New Roman" w:hAnsi="Times New Roman"/>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560" w:type="dxa"/>
          </w:tcPr>
          <w:p w14:paraId="010379D8">
            <w:pPr>
              <w:spacing w:after="0" w:line="240" w:lineRule="auto"/>
              <w:jc w:val="both"/>
              <w:rPr>
                <w:rFonts w:ascii="Times New Roman" w:hAnsi="Times New Roman" w:cs="Times New Roman"/>
              </w:rPr>
            </w:pPr>
            <w:r>
              <w:rPr>
                <w:rFonts w:ascii="Times New Roman" w:hAnsi="Times New Roman" w:cs="Times New Roman"/>
              </w:rPr>
              <w:t>22,0</w:t>
            </w:r>
          </w:p>
        </w:tc>
        <w:tc>
          <w:tcPr>
            <w:tcW w:w="1572" w:type="dxa"/>
          </w:tcPr>
          <w:p w14:paraId="59821D9F">
            <w:pPr>
              <w:spacing w:after="0" w:line="240" w:lineRule="auto"/>
              <w:jc w:val="both"/>
              <w:rPr>
                <w:rFonts w:ascii="Times New Roman" w:hAnsi="Times New Roman" w:cs="Times New Roman"/>
              </w:rPr>
            </w:pPr>
            <w:r>
              <w:rPr>
                <w:rFonts w:ascii="Times New Roman" w:hAnsi="Times New Roman" w:cs="Times New Roman"/>
              </w:rPr>
              <w:t>212,0</w:t>
            </w:r>
          </w:p>
        </w:tc>
        <w:tc>
          <w:tcPr>
            <w:tcW w:w="1032" w:type="dxa"/>
          </w:tcPr>
          <w:p w14:paraId="20C6DCD1">
            <w:pPr>
              <w:spacing w:after="0" w:line="240" w:lineRule="auto"/>
              <w:jc w:val="both"/>
              <w:rPr>
                <w:rFonts w:ascii="Times New Roman" w:hAnsi="Times New Roman" w:cs="Times New Roman"/>
              </w:rPr>
            </w:pPr>
            <w:r>
              <w:rPr>
                <w:rFonts w:ascii="Times New Roman" w:hAnsi="Times New Roman" w:cs="Times New Roman"/>
              </w:rPr>
              <w:t>190,0</w:t>
            </w:r>
          </w:p>
        </w:tc>
        <w:tc>
          <w:tcPr>
            <w:tcW w:w="3496" w:type="dxa"/>
            <w:gridSpan w:val="2"/>
          </w:tcPr>
          <w:p w14:paraId="53F356E3">
            <w:pPr>
              <w:spacing w:after="0" w:line="240" w:lineRule="auto"/>
              <w:rPr>
                <w:rFonts w:ascii="Times New Roman" w:hAnsi="Times New Roman" w:cs="Times New Roman"/>
              </w:rPr>
            </w:pPr>
            <w:r>
              <w:rPr>
                <w:rFonts w:ascii="Times New Roman" w:hAnsi="Times New Roman" w:cs="Times New Roman"/>
              </w:rPr>
              <w:t>Уточнение бюджетных показателей с учетом фактического поступления за 10 месяцев и ожидаемого исполнения за ноябрь - декабрь месяц текущего года от ООО «АПК Астраханский»</w:t>
            </w:r>
          </w:p>
        </w:tc>
      </w:tr>
      <w:tr w14:paraId="43F0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6B699A01">
            <w:pPr>
              <w:spacing w:after="0" w:line="240" w:lineRule="auto"/>
              <w:rPr>
                <w:rFonts w:ascii="Times New Roman" w:hAnsi="Times New Roman"/>
              </w:rPr>
            </w:pPr>
            <w:r>
              <w:rPr>
                <w:rFonts w:ascii="Times New Roman" w:hAnsi="Times New Roman"/>
              </w:rPr>
              <w:t xml:space="preserve">КБК </w:t>
            </w:r>
          </w:p>
          <w:p w14:paraId="6099EA65">
            <w:pPr>
              <w:spacing w:after="0" w:line="240" w:lineRule="auto"/>
              <w:rPr>
                <w:rFonts w:ascii="Times New Roman" w:hAnsi="Times New Roman"/>
              </w:rPr>
            </w:pPr>
            <w:r>
              <w:rPr>
                <w:rFonts w:ascii="Times New Roman" w:hAnsi="Times New Roman"/>
              </w:rPr>
              <w:t>4111110503510 0000120</w:t>
            </w:r>
          </w:p>
          <w:p w14:paraId="3B125B7E">
            <w:pPr>
              <w:spacing w:after="0" w:line="240" w:lineRule="auto"/>
              <w:rPr>
                <w:rFonts w:ascii="Times New Roman" w:hAnsi="Times New Roman"/>
              </w:rPr>
            </w:pPr>
            <w:r>
              <w:rPr>
                <w:rFonts w:ascii="Times New Roman" w:hAnsi="Times New Roman"/>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60" w:type="dxa"/>
          </w:tcPr>
          <w:p w14:paraId="341338BB">
            <w:pPr>
              <w:spacing w:after="0" w:line="240" w:lineRule="auto"/>
              <w:jc w:val="both"/>
              <w:rPr>
                <w:rFonts w:ascii="Times New Roman" w:hAnsi="Times New Roman" w:cs="Times New Roman"/>
              </w:rPr>
            </w:pPr>
            <w:r>
              <w:rPr>
                <w:rFonts w:ascii="Times New Roman" w:hAnsi="Times New Roman" w:cs="Times New Roman"/>
              </w:rPr>
              <w:t>3,0</w:t>
            </w:r>
          </w:p>
        </w:tc>
        <w:tc>
          <w:tcPr>
            <w:tcW w:w="1572" w:type="dxa"/>
          </w:tcPr>
          <w:p w14:paraId="20215899">
            <w:pPr>
              <w:spacing w:after="0" w:line="240" w:lineRule="auto"/>
              <w:jc w:val="both"/>
              <w:rPr>
                <w:rFonts w:ascii="Times New Roman" w:hAnsi="Times New Roman" w:cs="Times New Roman"/>
              </w:rPr>
            </w:pPr>
            <w:r>
              <w:rPr>
                <w:rFonts w:ascii="Times New Roman" w:hAnsi="Times New Roman" w:cs="Times New Roman"/>
              </w:rPr>
              <w:t>1,42</w:t>
            </w:r>
          </w:p>
        </w:tc>
        <w:tc>
          <w:tcPr>
            <w:tcW w:w="1032" w:type="dxa"/>
          </w:tcPr>
          <w:p w14:paraId="42F14885">
            <w:pPr>
              <w:spacing w:after="0" w:line="240" w:lineRule="auto"/>
              <w:jc w:val="both"/>
              <w:rPr>
                <w:rFonts w:ascii="Times New Roman" w:hAnsi="Times New Roman" w:cs="Times New Roman"/>
              </w:rPr>
            </w:pPr>
            <w:r>
              <w:rPr>
                <w:rFonts w:ascii="Times New Roman" w:hAnsi="Times New Roman" w:cs="Times New Roman"/>
              </w:rPr>
              <w:t>-1,58</w:t>
            </w:r>
          </w:p>
        </w:tc>
        <w:tc>
          <w:tcPr>
            <w:tcW w:w="3496" w:type="dxa"/>
            <w:gridSpan w:val="2"/>
          </w:tcPr>
          <w:p w14:paraId="4A15B4D0">
            <w:pPr>
              <w:spacing w:after="0" w:line="240" w:lineRule="auto"/>
              <w:rPr>
                <w:rFonts w:ascii="Times New Roman" w:hAnsi="Times New Roman" w:cs="Times New Roman"/>
              </w:rPr>
            </w:pPr>
            <w:r>
              <w:rPr>
                <w:rFonts w:ascii="Times New Roman" w:hAnsi="Times New Roman" w:cs="Times New Roman"/>
              </w:rPr>
              <w:t>Уточнение бюджетных показателей с учетом фактического поступления за 10 месяцев и ожидаемого исполнения за декабрь месяц текущего года</w:t>
            </w:r>
          </w:p>
        </w:tc>
      </w:tr>
      <w:tr w14:paraId="0FFE0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7206BAA">
            <w:pPr>
              <w:spacing w:after="0" w:line="240" w:lineRule="auto"/>
              <w:rPr>
                <w:rFonts w:ascii="Times New Roman" w:hAnsi="Times New Roman"/>
              </w:rPr>
            </w:pPr>
            <w:r>
              <w:rPr>
                <w:rFonts w:ascii="Times New Roman" w:hAnsi="Times New Roman"/>
              </w:rPr>
              <w:t xml:space="preserve">КБК </w:t>
            </w:r>
          </w:p>
          <w:p w14:paraId="7CDDBA13">
            <w:pPr>
              <w:spacing w:after="0" w:line="240" w:lineRule="auto"/>
              <w:rPr>
                <w:rFonts w:ascii="Times New Roman" w:hAnsi="Times New Roman" w:cs="Times New Roman"/>
              </w:rPr>
            </w:pPr>
            <w:r>
              <w:rPr>
                <w:rFonts w:ascii="Times New Roman" w:hAnsi="Times New Roman"/>
              </w:rPr>
              <w:t>41111302995100000 130Прочие доходы от компенсации затрат бюджетов сельских поселений</w:t>
            </w:r>
          </w:p>
        </w:tc>
        <w:tc>
          <w:tcPr>
            <w:tcW w:w="1560" w:type="dxa"/>
          </w:tcPr>
          <w:p w14:paraId="6B3BC6FF">
            <w:pPr>
              <w:spacing w:after="0" w:line="240" w:lineRule="auto"/>
              <w:jc w:val="both"/>
              <w:rPr>
                <w:rFonts w:ascii="Times New Roman" w:hAnsi="Times New Roman" w:cs="Times New Roman"/>
              </w:rPr>
            </w:pPr>
            <w:r>
              <w:rPr>
                <w:rFonts w:ascii="Times New Roman" w:hAnsi="Times New Roman" w:cs="Times New Roman"/>
              </w:rPr>
              <w:t>3,2</w:t>
            </w:r>
          </w:p>
        </w:tc>
        <w:tc>
          <w:tcPr>
            <w:tcW w:w="1572" w:type="dxa"/>
          </w:tcPr>
          <w:p w14:paraId="6872AFB9">
            <w:pPr>
              <w:spacing w:after="0" w:line="240" w:lineRule="auto"/>
              <w:jc w:val="both"/>
              <w:rPr>
                <w:rFonts w:ascii="Times New Roman" w:hAnsi="Times New Roman" w:cs="Times New Roman"/>
              </w:rPr>
            </w:pPr>
            <w:r>
              <w:rPr>
                <w:rFonts w:ascii="Times New Roman" w:hAnsi="Times New Roman" w:cs="Times New Roman"/>
              </w:rPr>
              <w:t>4,0</w:t>
            </w:r>
          </w:p>
        </w:tc>
        <w:tc>
          <w:tcPr>
            <w:tcW w:w="1032" w:type="dxa"/>
          </w:tcPr>
          <w:p w14:paraId="41DBEBC1">
            <w:pPr>
              <w:spacing w:after="0" w:line="240" w:lineRule="auto"/>
              <w:jc w:val="both"/>
              <w:rPr>
                <w:rFonts w:ascii="Times New Roman" w:hAnsi="Times New Roman" w:cs="Times New Roman"/>
              </w:rPr>
            </w:pPr>
            <w:r>
              <w:rPr>
                <w:rFonts w:ascii="Times New Roman" w:hAnsi="Times New Roman" w:cs="Times New Roman"/>
              </w:rPr>
              <w:t>0,8</w:t>
            </w:r>
          </w:p>
        </w:tc>
        <w:tc>
          <w:tcPr>
            <w:tcW w:w="3496" w:type="dxa"/>
            <w:gridSpan w:val="2"/>
          </w:tcPr>
          <w:p w14:paraId="1B5B91A5">
            <w:pPr>
              <w:spacing w:after="0" w:line="240" w:lineRule="auto"/>
              <w:rPr>
                <w:rFonts w:ascii="Times New Roman" w:hAnsi="Times New Roman" w:cs="Times New Roman"/>
              </w:rPr>
            </w:pPr>
            <w:r>
              <w:rPr>
                <w:rFonts w:ascii="Times New Roman" w:hAnsi="Times New Roman" w:cs="Times New Roman"/>
              </w:rPr>
              <w:t>Уточнение бюджетных показателей с учетом фактического поступления за 10 месяцев и ожидаемого исполнения за ноябрь - декабрь месяц текущего года</w:t>
            </w:r>
          </w:p>
        </w:tc>
      </w:tr>
      <w:tr w14:paraId="453D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3C8DCD6D">
            <w:pPr>
              <w:spacing w:after="0" w:line="240" w:lineRule="auto"/>
              <w:rPr>
                <w:rFonts w:ascii="Times New Roman" w:hAnsi="Times New Roman"/>
              </w:rPr>
            </w:pPr>
            <w:r>
              <w:rPr>
                <w:rFonts w:ascii="Times New Roman" w:hAnsi="Times New Roman"/>
              </w:rPr>
              <w:t xml:space="preserve">КБК </w:t>
            </w:r>
          </w:p>
          <w:p w14:paraId="10A7837B">
            <w:pPr>
              <w:spacing w:after="0" w:line="240" w:lineRule="auto"/>
              <w:rPr>
                <w:rFonts w:ascii="Times New Roman" w:hAnsi="Times New Roman"/>
              </w:rPr>
            </w:pPr>
            <w:r>
              <w:rPr>
                <w:rFonts w:ascii="Times New Roman" w:hAnsi="Times New Roman"/>
              </w:rPr>
              <w:t>41111602020020000140</w:t>
            </w:r>
          </w:p>
          <w:p w14:paraId="68EBEFCB">
            <w:pPr>
              <w:spacing w:after="0" w:line="240" w:lineRule="auto"/>
              <w:rPr>
                <w:rFonts w:ascii="Times New Roman" w:hAnsi="Times New Roman"/>
              </w:rPr>
            </w:pPr>
            <w:r>
              <w:rPr>
                <w:rFonts w:ascii="Times New Roman" w:hAnsi="Times New Roman"/>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560" w:type="dxa"/>
          </w:tcPr>
          <w:p w14:paraId="2C473FF6">
            <w:pPr>
              <w:spacing w:after="0" w:line="240" w:lineRule="auto"/>
              <w:jc w:val="both"/>
              <w:rPr>
                <w:rFonts w:ascii="Times New Roman" w:hAnsi="Times New Roman" w:cs="Times New Roman"/>
              </w:rPr>
            </w:pPr>
            <w:r>
              <w:rPr>
                <w:rFonts w:ascii="Times New Roman" w:hAnsi="Times New Roman" w:cs="Times New Roman"/>
              </w:rPr>
              <w:t>15,0</w:t>
            </w:r>
          </w:p>
        </w:tc>
        <w:tc>
          <w:tcPr>
            <w:tcW w:w="1572" w:type="dxa"/>
          </w:tcPr>
          <w:p w14:paraId="41DF7B5D">
            <w:pPr>
              <w:spacing w:after="0" w:line="240" w:lineRule="auto"/>
              <w:jc w:val="both"/>
              <w:rPr>
                <w:rFonts w:ascii="Times New Roman" w:hAnsi="Times New Roman" w:cs="Times New Roman"/>
              </w:rPr>
            </w:pPr>
            <w:r>
              <w:rPr>
                <w:rFonts w:ascii="Times New Roman" w:hAnsi="Times New Roman" w:cs="Times New Roman"/>
              </w:rPr>
              <w:t>27,5</w:t>
            </w:r>
          </w:p>
        </w:tc>
        <w:tc>
          <w:tcPr>
            <w:tcW w:w="1032" w:type="dxa"/>
          </w:tcPr>
          <w:p w14:paraId="546D2D7F">
            <w:pPr>
              <w:spacing w:after="0" w:line="240" w:lineRule="auto"/>
              <w:jc w:val="both"/>
              <w:rPr>
                <w:rFonts w:ascii="Times New Roman" w:hAnsi="Times New Roman" w:cs="Times New Roman"/>
              </w:rPr>
            </w:pPr>
            <w:r>
              <w:rPr>
                <w:rFonts w:ascii="Times New Roman" w:hAnsi="Times New Roman" w:cs="Times New Roman"/>
              </w:rPr>
              <w:t>12,5</w:t>
            </w:r>
          </w:p>
        </w:tc>
        <w:tc>
          <w:tcPr>
            <w:tcW w:w="3496" w:type="dxa"/>
            <w:gridSpan w:val="2"/>
          </w:tcPr>
          <w:p w14:paraId="5F4C22D8">
            <w:pPr>
              <w:spacing w:after="0" w:line="240" w:lineRule="auto"/>
              <w:rPr>
                <w:rFonts w:ascii="Times New Roman" w:hAnsi="Times New Roman" w:cs="Times New Roman"/>
              </w:rPr>
            </w:pPr>
            <w:r>
              <w:rPr>
                <w:rFonts w:ascii="Times New Roman" w:hAnsi="Times New Roman" w:cs="Times New Roman"/>
              </w:rPr>
              <w:t>Уточнение бюджетных показателей с учетом фактического поступления за 10 месяцев и ожидаемого исполнения за ноябрь- декабрь месяц текущего года</w:t>
            </w:r>
          </w:p>
        </w:tc>
      </w:tr>
      <w:tr w14:paraId="3C984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3690F3D7">
            <w:pPr>
              <w:spacing w:after="0" w:line="240" w:lineRule="auto"/>
              <w:rPr>
                <w:rFonts w:ascii="Times New Roman" w:hAnsi="Times New Roman"/>
              </w:rPr>
            </w:pPr>
            <w:r>
              <w:rPr>
                <w:rFonts w:ascii="Times New Roman" w:hAnsi="Times New Roman"/>
              </w:rPr>
              <w:t xml:space="preserve">КБК </w:t>
            </w:r>
          </w:p>
          <w:p w14:paraId="2AAF97BA">
            <w:pPr>
              <w:spacing w:after="0" w:line="240" w:lineRule="auto"/>
              <w:rPr>
                <w:rFonts w:ascii="Times New Roman" w:hAnsi="Times New Roman"/>
              </w:rPr>
            </w:pPr>
            <w:r>
              <w:rPr>
                <w:rFonts w:ascii="Times New Roman" w:hAnsi="Times New Roman"/>
              </w:rPr>
              <w:t>41111715030100000150</w:t>
            </w:r>
          </w:p>
          <w:p w14:paraId="2BCC118D">
            <w:pPr>
              <w:spacing w:after="0" w:line="240" w:lineRule="auto"/>
              <w:rPr>
                <w:rFonts w:ascii="Times New Roman" w:hAnsi="Times New Roman"/>
              </w:rPr>
            </w:pPr>
            <w:r>
              <w:rPr>
                <w:rFonts w:ascii="Times New Roman" w:hAnsi="Times New Roman"/>
              </w:rPr>
              <w:t>Инициативные платежи, зачисляемые в бюджеты сельских поселений</w:t>
            </w:r>
          </w:p>
        </w:tc>
        <w:tc>
          <w:tcPr>
            <w:tcW w:w="1560" w:type="dxa"/>
          </w:tcPr>
          <w:p w14:paraId="4ADDB852">
            <w:pPr>
              <w:spacing w:after="0" w:line="240" w:lineRule="auto"/>
              <w:jc w:val="both"/>
              <w:rPr>
                <w:rFonts w:ascii="Times New Roman" w:hAnsi="Times New Roman" w:cs="Times New Roman"/>
              </w:rPr>
            </w:pPr>
          </w:p>
        </w:tc>
        <w:tc>
          <w:tcPr>
            <w:tcW w:w="1572" w:type="dxa"/>
          </w:tcPr>
          <w:p w14:paraId="2985F5FF">
            <w:pPr>
              <w:spacing w:after="0" w:line="240" w:lineRule="auto"/>
              <w:jc w:val="both"/>
              <w:rPr>
                <w:rFonts w:ascii="Times New Roman" w:hAnsi="Times New Roman" w:cs="Times New Roman"/>
              </w:rPr>
            </w:pPr>
            <w:r>
              <w:rPr>
                <w:rFonts w:ascii="Times New Roman" w:hAnsi="Times New Roman" w:cs="Times New Roman"/>
              </w:rPr>
              <w:t>122,0</w:t>
            </w:r>
          </w:p>
        </w:tc>
        <w:tc>
          <w:tcPr>
            <w:tcW w:w="1032" w:type="dxa"/>
          </w:tcPr>
          <w:p w14:paraId="17B7F1DF">
            <w:pPr>
              <w:spacing w:after="0" w:line="240" w:lineRule="auto"/>
              <w:jc w:val="both"/>
              <w:rPr>
                <w:rFonts w:ascii="Times New Roman" w:hAnsi="Times New Roman" w:cs="Times New Roman"/>
              </w:rPr>
            </w:pPr>
            <w:r>
              <w:rPr>
                <w:rFonts w:ascii="Times New Roman" w:hAnsi="Times New Roman" w:cs="Times New Roman"/>
              </w:rPr>
              <w:t>122,0</w:t>
            </w:r>
          </w:p>
        </w:tc>
        <w:tc>
          <w:tcPr>
            <w:tcW w:w="3496" w:type="dxa"/>
            <w:gridSpan w:val="2"/>
          </w:tcPr>
          <w:p w14:paraId="3E7EC624">
            <w:pPr>
              <w:spacing w:after="0" w:line="240" w:lineRule="auto"/>
              <w:rPr>
                <w:rFonts w:ascii="Times New Roman" w:hAnsi="Times New Roman" w:cs="Times New Roman"/>
              </w:rPr>
            </w:pPr>
            <w:r>
              <w:rPr>
                <w:rFonts w:ascii="Times New Roman" w:hAnsi="Times New Roman" w:cs="Times New Roman"/>
              </w:rPr>
              <w:t>Уточнение бюджетных показателей с учетом фактического поступления за 10 месяцев и ожидаемого исполнения за ноябрь- декабрь месяц текущего года</w:t>
            </w:r>
          </w:p>
        </w:tc>
      </w:tr>
      <w:tr w14:paraId="237D5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28B27F56">
            <w:pPr>
              <w:spacing w:after="0" w:line="240" w:lineRule="auto"/>
              <w:rPr>
                <w:rFonts w:ascii="Times New Roman" w:hAnsi="Times New Roman"/>
              </w:rPr>
            </w:pPr>
            <w:r>
              <w:rPr>
                <w:rFonts w:ascii="Times New Roman" w:hAnsi="Times New Roman"/>
              </w:rPr>
              <w:t>КБК 41120235118100000150</w:t>
            </w:r>
          </w:p>
          <w:p w14:paraId="25CFA57F">
            <w:pPr>
              <w:spacing w:after="0" w:line="240" w:lineRule="auto"/>
              <w:rPr>
                <w:rFonts w:ascii="Times New Roman" w:hAnsi="Times New Roman"/>
              </w:rPr>
            </w:pPr>
            <w:r>
              <w:rPr>
                <w:rFonts w:ascii="Times New Roman" w:hAnsi="Times New Roman"/>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60" w:type="dxa"/>
          </w:tcPr>
          <w:p w14:paraId="49577964">
            <w:pPr>
              <w:spacing w:after="0" w:line="240" w:lineRule="auto"/>
              <w:jc w:val="both"/>
              <w:rPr>
                <w:rFonts w:ascii="Times New Roman" w:hAnsi="Times New Roman" w:cs="Times New Roman"/>
              </w:rPr>
            </w:pPr>
            <w:r>
              <w:rPr>
                <w:rFonts w:ascii="Times New Roman" w:hAnsi="Times New Roman" w:cs="Times New Roman"/>
              </w:rPr>
              <w:t>411,5</w:t>
            </w:r>
          </w:p>
        </w:tc>
        <w:tc>
          <w:tcPr>
            <w:tcW w:w="1572" w:type="dxa"/>
          </w:tcPr>
          <w:p w14:paraId="40F0D2E7">
            <w:pPr>
              <w:spacing w:after="0" w:line="240" w:lineRule="auto"/>
              <w:jc w:val="both"/>
              <w:rPr>
                <w:rFonts w:ascii="Times New Roman" w:hAnsi="Times New Roman" w:cs="Times New Roman"/>
              </w:rPr>
            </w:pPr>
            <w:r>
              <w:rPr>
                <w:rFonts w:ascii="Times New Roman" w:hAnsi="Times New Roman" w:cs="Times New Roman"/>
              </w:rPr>
              <w:t>412,3</w:t>
            </w:r>
          </w:p>
        </w:tc>
        <w:tc>
          <w:tcPr>
            <w:tcW w:w="1032" w:type="dxa"/>
          </w:tcPr>
          <w:p w14:paraId="17FBFA29">
            <w:pPr>
              <w:spacing w:after="0" w:line="240" w:lineRule="auto"/>
              <w:jc w:val="both"/>
              <w:rPr>
                <w:rFonts w:ascii="Times New Roman" w:hAnsi="Times New Roman" w:cs="Times New Roman"/>
              </w:rPr>
            </w:pPr>
            <w:r>
              <w:rPr>
                <w:rFonts w:ascii="Times New Roman" w:hAnsi="Times New Roman" w:cs="Times New Roman"/>
              </w:rPr>
              <w:t>0,8</w:t>
            </w:r>
          </w:p>
        </w:tc>
        <w:tc>
          <w:tcPr>
            <w:tcW w:w="3496" w:type="dxa"/>
            <w:gridSpan w:val="2"/>
          </w:tcPr>
          <w:p w14:paraId="1D452B70">
            <w:pPr>
              <w:spacing w:after="0" w:line="240" w:lineRule="auto"/>
              <w:rPr>
                <w:rFonts w:ascii="Times New Roman" w:hAnsi="Times New Roman" w:cs="Times New Roman"/>
              </w:rPr>
            </w:pPr>
            <w:r>
              <w:rPr>
                <w:rFonts w:ascii="Times New Roman" w:hAnsi="Times New Roman" w:cs="Times New Roman"/>
              </w:rPr>
              <w:t>Уведомления № 1/1 от 11.11.2025г.), от Администрации губернатора Астраханской области</w:t>
            </w:r>
          </w:p>
        </w:tc>
      </w:tr>
      <w:tr w14:paraId="2E428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B4E5251">
            <w:pPr>
              <w:spacing w:after="0" w:line="240" w:lineRule="auto"/>
              <w:rPr>
                <w:rFonts w:ascii="Times New Roman" w:hAnsi="Times New Roman"/>
              </w:rPr>
            </w:pPr>
            <w:r>
              <w:rPr>
                <w:rFonts w:ascii="Times New Roman" w:hAnsi="Times New Roman"/>
              </w:rPr>
              <w:t>КБК 41120229999100000150</w:t>
            </w:r>
          </w:p>
        </w:tc>
        <w:tc>
          <w:tcPr>
            <w:tcW w:w="1560" w:type="dxa"/>
          </w:tcPr>
          <w:p w14:paraId="66C6040B">
            <w:pPr>
              <w:spacing w:after="0" w:line="240" w:lineRule="auto"/>
              <w:jc w:val="both"/>
              <w:rPr>
                <w:rFonts w:ascii="Times New Roman" w:hAnsi="Times New Roman" w:cs="Times New Roman"/>
              </w:rPr>
            </w:pPr>
          </w:p>
        </w:tc>
        <w:tc>
          <w:tcPr>
            <w:tcW w:w="1572" w:type="dxa"/>
          </w:tcPr>
          <w:p w14:paraId="2C3EF478">
            <w:pPr>
              <w:spacing w:after="0" w:line="240" w:lineRule="auto"/>
              <w:jc w:val="both"/>
              <w:rPr>
                <w:rFonts w:ascii="Times New Roman" w:hAnsi="Times New Roman" w:cs="Times New Roman"/>
              </w:rPr>
            </w:pPr>
            <w:r>
              <w:rPr>
                <w:rFonts w:ascii="Times New Roman" w:hAnsi="Times New Roman" w:cs="Times New Roman"/>
              </w:rPr>
              <w:t>758,4</w:t>
            </w:r>
          </w:p>
        </w:tc>
        <w:tc>
          <w:tcPr>
            <w:tcW w:w="1032" w:type="dxa"/>
          </w:tcPr>
          <w:p w14:paraId="4018EB4A">
            <w:pPr>
              <w:spacing w:after="0" w:line="240" w:lineRule="auto"/>
              <w:jc w:val="both"/>
              <w:rPr>
                <w:rFonts w:ascii="Times New Roman" w:hAnsi="Times New Roman" w:cs="Times New Roman"/>
              </w:rPr>
            </w:pPr>
            <w:r>
              <w:rPr>
                <w:rFonts w:ascii="Times New Roman" w:hAnsi="Times New Roman" w:cs="Times New Roman"/>
              </w:rPr>
              <w:t>758,4</w:t>
            </w:r>
          </w:p>
        </w:tc>
        <w:tc>
          <w:tcPr>
            <w:tcW w:w="3496" w:type="dxa"/>
            <w:gridSpan w:val="2"/>
          </w:tcPr>
          <w:p w14:paraId="71537FE0">
            <w:pPr>
              <w:spacing w:after="0" w:line="240" w:lineRule="auto"/>
              <w:rPr>
                <w:rFonts w:ascii="Times New Roman" w:hAnsi="Times New Roman" w:cs="Times New Roman"/>
              </w:rPr>
            </w:pPr>
            <w:r>
              <w:rPr>
                <w:rFonts w:ascii="Times New Roman" w:hAnsi="Times New Roman" w:cs="Times New Roman"/>
              </w:rPr>
              <w:t>Уведомление 3318/1 от14.11.25, уведомление 5207/1 от14.11.25 от Министерства строительства ЖКХ Астраханской области</w:t>
            </w:r>
          </w:p>
        </w:tc>
      </w:tr>
      <w:tr w14:paraId="1B87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0927B98B">
            <w:pPr>
              <w:spacing w:after="0" w:line="240" w:lineRule="auto"/>
              <w:rPr>
                <w:rFonts w:ascii="Times New Roman" w:hAnsi="Times New Roman"/>
              </w:rPr>
            </w:pPr>
            <w:r>
              <w:rPr>
                <w:rFonts w:ascii="Times New Roman" w:hAnsi="Times New Roman"/>
              </w:rPr>
              <w:t xml:space="preserve">КБК </w:t>
            </w:r>
          </w:p>
          <w:p w14:paraId="554B921F">
            <w:pPr>
              <w:spacing w:after="0" w:line="240" w:lineRule="auto"/>
              <w:rPr>
                <w:rFonts w:ascii="Times New Roman" w:hAnsi="Times New Roman"/>
              </w:rPr>
            </w:pPr>
            <w:r>
              <w:rPr>
                <w:rFonts w:ascii="Times New Roman" w:hAnsi="Times New Roman"/>
              </w:rPr>
              <w:t>41120249999100000152</w:t>
            </w:r>
          </w:p>
          <w:p w14:paraId="7CD9B38D">
            <w:pPr>
              <w:spacing w:after="0" w:line="240" w:lineRule="auto"/>
              <w:rPr>
                <w:rFonts w:ascii="Times New Roman" w:hAnsi="Times New Roman"/>
              </w:rPr>
            </w:pPr>
            <w:r>
              <w:rPr>
                <w:rFonts w:ascii="Times New Roman" w:hAnsi="Times New Roman"/>
              </w:rPr>
              <w:t>Прочие безвозмездные поступления от негосударственных организаций в бюджеты сельских поселений</w:t>
            </w:r>
          </w:p>
        </w:tc>
        <w:tc>
          <w:tcPr>
            <w:tcW w:w="1560" w:type="dxa"/>
          </w:tcPr>
          <w:p w14:paraId="7706B9F6">
            <w:pPr>
              <w:spacing w:after="0" w:line="240" w:lineRule="auto"/>
              <w:jc w:val="both"/>
              <w:rPr>
                <w:rFonts w:ascii="Times New Roman" w:hAnsi="Times New Roman" w:cs="Times New Roman"/>
              </w:rPr>
            </w:pPr>
          </w:p>
        </w:tc>
        <w:tc>
          <w:tcPr>
            <w:tcW w:w="1572" w:type="dxa"/>
          </w:tcPr>
          <w:p w14:paraId="08CF33F7">
            <w:pPr>
              <w:spacing w:after="0" w:line="240" w:lineRule="auto"/>
              <w:jc w:val="both"/>
              <w:rPr>
                <w:rFonts w:ascii="Times New Roman" w:hAnsi="Times New Roman" w:cs="Times New Roman"/>
              </w:rPr>
            </w:pPr>
            <w:r>
              <w:rPr>
                <w:rFonts w:ascii="Times New Roman" w:hAnsi="Times New Roman" w:cs="Times New Roman"/>
              </w:rPr>
              <w:t>500,0</w:t>
            </w:r>
          </w:p>
        </w:tc>
        <w:tc>
          <w:tcPr>
            <w:tcW w:w="1032" w:type="dxa"/>
          </w:tcPr>
          <w:p w14:paraId="7AFB2A5A">
            <w:pPr>
              <w:spacing w:after="0" w:line="240" w:lineRule="auto"/>
              <w:jc w:val="both"/>
              <w:rPr>
                <w:rFonts w:ascii="Times New Roman" w:hAnsi="Times New Roman" w:cs="Times New Roman"/>
              </w:rPr>
            </w:pPr>
            <w:r>
              <w:rPr>
                <w:rFonts w:ascii="Times New Roman" w:hAnsi="Times New Roman" w:cs="Times New Roman"/>
              </w:rPr>
              <w:t>500,0</w:t>
            </w:r>
          </w:p>
        </w:tc>
        <w:tc>
          <w:tcPr>
            <w:tcW w:w="3496" w:type="dxa"/>
            <w:gridSpan w:val="2"/>
          </w:tcPr>
          <w:p w14:paraId="49E993B2">
            <w:pPr>
              <w:spacing w:after="0" w:line="240" w:lineRule="auto"/>
              <w:rPr>
                <w:rFonts w:ascii="Times New Roman" w:hAnsi="Times New Roman" w:cs="Times New Roman"/>
              </w:rPr>
            </w:pPr>
            <w:r>
              <w:rPr>
                <w:rFonts w:ascii="Times New Roman" w:hAnsi="Times New Roman" w:cs="Times New Roman"/>
              </w:rPr>
              <w:t xml:space="preserve">Уточнение бюджетных показателей с учетом ожидаемого исполнения за ноябрь - декабрь месяц текущего года спонсорских средств от ПАО «Лукойл» </w:t>
            </w:r>
          </w:p>
        </w:tc>
      </w:tr>
      <w:tr w14:paraId="28457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31D01BC7">
            <w:pPr>
              <w:spacing w:after="0" w:line="240" w:lineRule="auto"/>
              <w:jc w:val="both"/>
              <w:rPr>
                <w:rFonts w:ascii="Times New Roman" w:hAnsi="Times New Roman" w:cs="Times New Roman"/>
              </w:rPr>
            </w:pPr>
            <w:r>
              <w:rPr>
                <w:rFonts w:ascii="Times New Roman" w:hAnsi="Times New Roman" w:cs="Times New Roman"/>
              </w:rPr>
              <w:t>ИТОГО</w:t>
            </w:r>
          </w:p>
        </w:tc>
        <w:tc>
          <w:tcPr>
            <w:tcW w:w="1560" w:type="dxa"/>
          </w:tcPr>
          <w:p w14:paraId="01C103E0">
            <w:pPr>
              <w:spacing w:after="0" w:line="240" w:lineRule="auto"/>
              <w:jc w:val="both"/>
              <w:rPr>
                <w:rFonts w:ascii="Times New Roman" w:hAnsi="Times New Roman" w:cs="Times New Roman"/>
              </w:rPr>
            </w:pPr>
            <w:r>
              <w:rPr>
                <w:rFonts w:ascii="Times New Roman" w:hAnsi="Times New Roman" w:cs="Times New Roman"/>
              </w:rPr>
              <w:t>1769,3</w:t>
            </w:r>
          </w:p>
        </w:tc>
        <w:tc>
          <w:tcPr>
            <w:tcW w:w="1572" w:type="dxa"/>
          </w:tcPr>
          <w:p w14:paraId="7B884653">
            <w:pPr>
              <w:spacing w:after="0" w:line="240" w:lineRule="auto"/>
              <w:jc w:val="both"/>
              <w:rPr>
                <w:rFonts w:ascii="Times New Roman" w:hAnsi="Times New Roman" w:cs="Times New Roman"/>
              </w:rPr>
            </w:pPr>
            <w:r>
              <w:rPr>
                <w:rFonts w:ascii="Times New Roman" w:hAnsi="Times New Roman" w:cs="Times New Roman"/>
              </w:rPr>
              <w:t>3134,06</w:t>
            </w:r>
          </w:p>
        </w:tc>
        <w:tc>
          <w:tcPr>
            <w:tcW w:w="1032" w:type="dxa"/>
          </w:tcPr>
          <w:p w14:paraId="34F61CF3">
            <w:pPr>
              <w:spacing w:after="0" w:line="240" w:lineRule="auto"/>
              <w:jc w:val="both"/>
              <w:rPr>
                <w:rFonts w:ascii="Times New Roman" w:hAnsi="Times New Roman" w:cs="Times New Roman"/>
              </w:rPr>
            </w:pPr>
            <w:r>
              <w:rPr>
                <w:rFonts w:ascii="Times New Roman" w:hAnsi="Times New Roman" w:cs="Times New Roman"/>
              </w:rPr>
              <w:t>1364,76</w:t>
            </w:r>
          </w:p>
        </w:tc>
        <w:tc>
          <w:tcPr>
            <w:tcW w:w="3496" w:type="dxa"/>
            <w:gridSpan w:val="2"/>
          </w:tcPr>
          <w:p w14:paraId="22E9FE14">
            <w:pPr>
              <w:spacing w:after="0" w:line="240" w:lineRule="auto"/>
              <w:jc w:val="both"/>
              <w:rPr>
                <w:rFonts w:ascii="Times New Roman" w:hAnsi="Times New Roman" w:cs="Times New Roman"/>
              </w:rPr>
            </w:pPr>
          </w:p>
        </w:tc>
      </w:tr>
    </w:tbl>
    <w:p w14:paraId="2C22AE4F">
      <w:pPr>
        <w:ind w:left="-565" w:leftChars="-257" w:right="-1"/>
        <w:jc w:val="both"/>
        <w:rPr>
          <w:rFonts w:ascii="Times New Roman" w:hAnsi="Times New Roman" w:cs="Times New Roman"/>
          <w:sz w:val="24"/>
          <w:szCs w:val="24"/>
        </w:rPr>
      </w:pPr>
    </w:p>
    <w:p w14:paraId="732FD218">
      <w:pPr>
        <w:ind w:left="-565" w:leftChars="-257" w:right="-568" w:rightChars="-258"/>
        <w:jc w:val="center"/>
        <w:rPr>
          <w:rFonts w:ascii="Times New Roman" w:hAnsi="Times New Roman" w:cs="Times New Roman"/>
          <w:sz w:val="24"/>
          <w:szCs w:val="24"/>
        </w:rPr>
      </w:pPr>
      <w:r>
        <w:rPr>
          <w:rFonts w:ascii="Times New Roman" w:hAnsi="Times New Roman" w:cs="Times New Roman"/>
          <w:sz w:val="24"/>
          <w:szCs w:val="24"/>
        </w:rPr>
        <w:t>2. Расходы</w:t>
      </w:r>
    </w:p>
    <w:p w14:paraId="2D131037">
      <w:pPr>
        <w:spacing w:after="0"/>
        <w:jc w:val="both"/>
        <w:rPr>
          <w:rFonts w:ascii="Times New Roman" w:hAnsi="Times New Roman" w:cs="Times New Roman"/>
          <w:sz w:val="24"/>
          <w:szCs w:val="24"/>
        </w:rPr>
      </w:pPr>
      <w:r>
        <w:rPr>
          <w:rFonts w:ascii="Times New Roman" w:hAnsi="Times New Roman" w:cs="Times New Roman"/>
          <w:sz w:val="24"/>
          <w:szCs w:val="24"/>
        </w:rPr>
        <w:t xml:space="preserve">           В  решение «О внесении изменений в решение Совета муниципального образования «Сельское поселение Хошеутовский сельсовет Харабалинского муниципального района Астраханской области»  от 20.12.2024 № 22 «О бюджете муниципального образования «Сельское поселение Хошеутовский сельсовет Харабалинского муниципального района Астраханской области» на 2025 год и на плановый период  2026 и 2027 годов» в расходную часть вносятся следующие изменения.</w:t>
      </w:r>
    </w:p>
    <w:p w14:paraId="0495E02F">
      <w:pPr>
        <w:spacing w:after="0"/>
        <w:jc w:val="both"/>
        <w:rPr>
          <w:rFonts w:ascii="Times New Roman" w:hAnsi="Times New Roman" w:cs="Times New Roman"/>
          <w:sz w:val="24"/>
          <w:szCs w:val="24"/>
        </w:rPr>
      </w:pPr>
    </w:p>
    <w:p w14:paraId="65C0D6BB">
      <w:pPr>
        <w:spacing w:after="0"/>
        <w:jc w:val="both"/>
        <w:rPr>
          <w:rFonts w:ascii="Times New Roman" w:hAnsi="Times New Roman" w:cs="Times New Roman"/>
          <w:sz w:val="24"/>
          <w:szCs w:val="24"/>
        </w:rPr>
      </w:pPr>
      <w:r>
        <w:rPr>
          <w:rFonts w:ascii="Times New Roman" w:hAnsi="Times New Roman" w:cs="Times New Roman"/>
          <w:sz w:val="24"/>
          <w:szCs w:val="24"/>
        </w:rPr>
        <w:t xml:space="preserve">          Расходы бюджета муниципального образования «Сельское поселение Хошеутовский сельсовет Харабалинского муниципального района Астраханской области» за счет целевых межбюджетных трансфертов и налоговых и неналоговых по состоянию на 01.11.2025 года утверждены сводной бюджетной росписью в сумме 23786,94 тыс. </w:t>
      </w:r>
    </w:p>
    <w:p w14:paraId="217C3D62">
      <w:pPr>
        <w:spacing w:after="0"/>
        <w:ind w:right="-1" w:firstLine="567"/>
        <w:jc w:val="both"/>
        <w:rPr>
          <w:rFonts w:ascii="Times New Roman" w:hAnsi="Times New Roman" w:cs="Times New Roman"/>
          <w:sz w:val="24"/>
          <w:szCs w:val="24"/>
        </w:rPr>
      </w:pPr>
      <w:r>
        <w:rPr>
          <w:rFonts w:ascii="Times New Roman" w:hAnsi="Times New Roman" w:cs="Times New Roman"/>
          <w:sz w:val="24"/>
          <w:szCs w:val="24"/>
        </w:rPr>
        <w:t>Расходы бюджета муниципального образования «Сельское поселение Хошеутовский сельсовет Харабалинского муниципального района Астраханской области» увеличиваются на</w:t>
      </w:r>
      <w:r>
        <w:rPr>
          <w:rFonts w:ascii="Times New Roman" w:hAnsi="Times New Roman" w:cs="Times New Roman"/>
          <w:color w:val="000000" w:themeColor="text1"/>
          <w:sz w:val="24"/>
          <w:szCs w:val="24"/>
          <w14:textFill>
            <w14:solidFill>
              <w14:schemeClr w14:val="tx1"/>
            </w14:solidFill>
          </w14:textFill>
        </w:rPr>
        <w:t xml:space="preserve"> сумму 1364,76 тыс. руб.</w:t>
      </w:r>
      <w:r>
        <w:rPr>
          <w:rFonts w:ascii="Times New Roman" w:hAnsi="Times New Roman" w:cs="Times New Roman"/>
          <w:sz w:val="24"/>
          <w:szCs w:val="24"/>
        </w:rPr>
        <w:t xml:space="preserve"> в том числе:</w:t>
      </w:r>
    </w:p>
    <w:p w14:paraId="7AF28300">
      <w:pPr>
        <w:spacing w:after="0"/>
        <w:jc w:val="both"/>
        <w:rPr>
          <w:rFonts w:ascii="Times New Roman" w:hAnsi="Times New Roman" w:cs="Times New Roman"/>
          <w:sz w:val="24"/>
          <w:szCs w:val="24"/>
        </w:rPr>
      </w:pPr>
      <w:r>
        <w:rPr>
          <w:rFonts w:ascii="Times New Roman" w:hAnsi="Times New Roman" w:cs="Times New Roman"/>
          <w:sz w:val="24"/>
          <w:szCs w:val="24"/>
        </w:rPr>
        <w:t xml:space="preserve">- за счет собственных доходов увеличивается на 105,56 тыс. рублей, </w:t>
      </w:r>
    </w:p>
    <w:p w14:paraId="586BD5D4">
      <w:pPr>
        <w:spacing w:after="0"/>
        <w:jc w:val="both"/>
        <w:rPr>
          <w:rFonts w:ascii="Times New Roman" w:hAnsi="Times New Roman" w:cs="Times New Roman"/>
          <w:sz w:val="24"/>
          <w:szCs w:val="24"/>
        </w:rPr>
      </w:pPr>
      <w:r>
        <w:rPr>
          <w:rFonts w:ascii="Times New Roman" w:hAnsi="Times New Roman" w:cs="Times New Roman"/>
          <w:sz w:val="24"/>
          <w:szCs w:val="24"/>
        </w:rPr>
        <w:t xml:space="preserve">- за счет безвозмездных поступлений увеличения на 1259,2 тыс. рублей, </w:t>
      </w:r>
    </w:p>
    <w:p w14:paraId="6849151D">
      <w:pPr>
        <w:spacing w:after="0"/>
        <w:ind w:left="275" w:leftChars="-257" w:right="-1" w:hanging="840" w:hangingChars="350"/>
        <w:jc w:val="both"/>
        <w:rPr>
          <w:rFonts w:ascii="Times New Roman" w:hAnsi="Times New Roman" w:cs="Times New Roman"/>
          <w:sz w:val="24"/>
          <w:szCs w:val="24"/>
        </w:rPr>
      </w:pPr>
      <w:r>
        <w:rPr>
          <w:rFonts w:ascii="Times New Roman" w:hAnsi="Times New Roman" w:cs="Times New Roman"/>
          <w:sz w:val="24"/>
          <w:szCs w:val="24"/>
        </w:rPr>
        <w:t xml:space="preserve">                    Расходы за счет увеличения безвозмездных поступлений </w:t>
      </w:r>
      <w:r>
        <w:rPr>
          <w:rFonts w:hint="default" w:ascii="Times New Roman" w:hAnsi="Times New Roman" w:cs="Times New Roman"/>
          <w:sz w:val="24"/>
          <w:szCs w:val="24"/>
          <w:lang w:val="ru-RU"/>
        </w:rPr>
        <w:t xml:space="preserve"> и собственных доходов </w:t>
      </w:r>
      <w:r>
        <w:rPr>
          <w:rFonts w:ascii="Times New Roman" w:hAnsi="Times New Roman" w:cs="Times New Roman"/>
          <w:sz w:val="24"/>
          <w:szCs w:val="24"/>
        </w:rPr>
        <w:t xml:space="preserve">планируется направить: </w:t>
      </w:r>
    </w:p>
    <w:p w14:paraId="764A9ABF">
      <w:pPr>
        <w:pStyle w:val="10"/>
        <w:ind w:right="-1" w:firstLine="0"/>
        <w:contextualSpacing/>
        <w:jc w:val="both"/>
        <w:rPr>
          <w:rFonts w:ascii="Times New Roman" w:hAnsi="Times New Roman"/>
          <w:sz w:val="24"/>
          <w:szCs w:val="24"/>
        </w:rPr>
      </w:pPr>
      <w:r>
        <w:rPr>
          <w:rFonts w:ascii="Times New Roman" w:hAnsi="Times New Roman" w:cs="Times New Roman"/>
          <w:sz w:val="24"/>
          <w:szCs w:val="24"/>
        </w:rPr>
        <w:t xml:space="preserve">- на непрограммные расходы планируется направить за счет субсидий </w:t>
      </w:r>
      <w:r>
        <w:rPr>
          <w:rFonts w:hint="default" w:ascii="Times New Roman" w:hAnsi="Times New Roman" w:cs="Times New Roman"/>
          <w:sz w:val="24"/>
          <w:szCs w:val="24"/>
          <w:lang w:val="ru-RU"/>
        </w:rPr>
        <w:t>758,4</w:t>
      </w:r>
      <w:r>
        <w:rPr>
          <w:rFonts w:ascii="Times New Roman" w:hAnsi="Times New Roman" w:cs="Times New Roman"/>
          <w:sz w:val="24"/>
          <w:szCs w:val="24"/>
        </w:rPr>
        <w:t xml:space="preserve"> тыс. рублей </w:t>
      </w:r>
      <w:r>
        <w:rPr>
          <w:rFonts w:ascii="Times New Roman" w:hAnsi="Times New Roman" w:cs="Times New Roman"/>
          <w:sz w:val="24"/>
          <w:szCs w:val="24"/>
          <w:lang w:val="ru-RU"/>
        </w:rPr>
        <w:t>и</w:t>
      </w:r>
      <w:r>
        <w:rPr>
          <w:rFonts w:hint="default" w:ascii="Times New Roman" w:hAnsi="Times New Roman" w:cs="Times New Roman"/>
          <w:sz w:val="24"/>
          <w:szCs w:val="24"/>
          <w:lang w:val="ru-RU"/>
        </w:rPr>
        <w:t xml:space="preserve"> за счет собственных доходов 105,56 тыс.руб. </w:t>
      </w:r>
      <w:r>
        <w:rPr>
          <w:rFonts w:ascii="Times New Roman" w:hAnsi="Times New Roman" w:cs="Times New Roman"/>
          <w:sz w:val="24"/>
          <w:szCs w:val="24"/>
        </w:rPr>
        <w:t>на проект и</w:t>
      </w:r>
      <w:r>
        <w:rPr>
          <w:rFonts w:ascii="Times New Roman" w:hAnsi="Times New Roman"/>
          <w:sz w:val="24"/>
          <w:szCs w:val="24"/>
        </w:rPr>
        <w:t>нициативного бюджетирования (благоустройство парка Павшим героям отечества);</w:t>
      </w:r>
    </w:p>
    <w:p w14:paraId="1B3245B3">
      <w:pPr>
        <w:spacing w:after="0"/>
        <w:ind w:right="-1"/>
        <w:jc w:val="both"/>
        <w:rPr>
          <w:rFonts w:ascii="Times New Roman" w:hAnsi="Times New Roman" w:cs="Times New Roman"/>
          <w:sz w:val="24"/>
          <w:szCs w:val="24"/>
        </w:rPr>
      </w:pPr>
      <w:r>
        <w:rPr>
          <w:rFonts w:ascii="Times New Roman" w:hAnsi="Times New Roman"/>
          <w:sz w:val="24"/>
          <w:szCs w:val="24"/>
        </w:rPr>
        <w:t>- МП «Осуществление первичного воинского учета на территориях, где отсутствуют военные комиссариаты в муниципальном образовании «Сельское поселение Хошеутовский сельсовет Харабалинского муниципального района Астраханской области» на 2025 и плановый период 2026-2029 годов» увеличивается за счет субвенции в сумме 0,8 тыс. руб.,</w:t>
      </w:r>
    </w:p>
    <w:p w14:paraId="34394F5C">
      <w:pPr>
        <w:spacing w:after="0"/>
        <w:ind w:right="-1"/>
        <w:jc w:val="both"/>
        <w:rPr>
          <w:rFonts w:hint="default" w:ascii="Times New Roman" w:hAnsi="Times New Roman"/>
          <w:sz w:val="24"/>
          <w:szCs w:val="24"/>
          <w:lang w:val="ru-RU"/>
        </w:rPr>
      </w:pPr>
      <w:r>
        <w:rPr>
          <w:rFonts w:ascii="Times New Roman" w:hAnsi="Times New Roman"/>
          <w:sz w:val="24"/>
          <w:szCs w:val="24"/>
        </w:rPr>
        <w:t>-</w:t>
      </w:r>
      <w:r>
        <w:rPr>
          <w:rFonts w:ascii="Times New Roman" w:hAnsi="Times New Roman" w:cs="Times New Roman"/>
          <w:sz w:val="24"/>
          <w:szCs w:val="24"/>
        </w:rPr>
        <w:t xml:space="preserve"> МП «</w:t>
      </w:r>
      <w:r>
        <w:rPr>
          <w:rFonts w:ascii="Times New Roman" w:hAnsi="Times New Roman" w:cs="Times New Roman"/>
          <w:color w:val="000000"/>
          <w:sz w:val="24"/>
          <w:szCs w:val="24"/>
        </w:rPr>
        <w:t>Развитие культуры и культурного наследия на территории муниципального</w:t>
      </w:r>
      <w:r>
        <w:rPr>
          <w:rFonts w:ascii="Times New Roman" w:hAnsi="Times New Roman" w:cs="Times New Roman"/>
          <w:sz w:val="24"/>
          <w:szCs w:val="24"/>
        </w:rPr>
        <w:t xml:space="preserve"> образования «Сельское поселение Хошеутовский сельсовет</w:t>
      </w:r>
      <w:r>
        <w:rPr>
          <w:rFonts w:ascii="Times New Roman" w:hAnsi="Times New Roman"/>
          <w:sz w:val="24"/>
          <w:szCs w:val="24"/>
        </w:rPr>
        <w:t xml:space="preserve"> </w:t>
      </w:r>
      <w:r>
        <w:rPr>
          <w:rFonts w:ascii="Times New Roman" w:hAnsi="Times New Roman" w:cs="Times New Roman"/>
          <w:sz w:val="24"/>
          <w:szCs w:val="24"/>
        </w:rPr>
        <w:t>Харабалинского муниципального района Астраханской области»</w:t>
      </w:r>
      <w:r>
        <w:rPr>
          <w:rFonts w:ascii="Times New Roman" w:hAnsi="Times New Roman" w:cs="Times New Roman"/>
          <w:color w:val="000000"/>
          <w:sz w:val="24"/>
          <w:szCs w:val="24"/>
        </w:rPr>
        <w:t xml:space="preserve"> на 2025год и на плановый период 2026 -2027 годов</w:t>
      </w:r>
      <w:r>
        <w:rPr>
          <w:rFonts w:ascii="Times New Roman" w:hAnsi="Times New Roman" w:cs="Times New Roman"/>
          <w:sz w:val="24"/>
          <w:szCs w:val="24"/>
        </w:rPr>
        <w:t>» увелич</w:t>
      </w:r>
      <w:r>
        <w:rPr>
          <w:rFonts w:ascii="Times New Roman" w:hAnsi="Times New Roman"/>
          <w:sz w:val="24"/>
          <w:szCs w:val="24"/>
        </w:rPr>
        <w:t>ивается за счет спонсорских средств</w:t>
      </w:r>
      <w:r>
        <w:rPr>
          <w:rFonts w:ascii="Times New Roman" w:hAnsi="Times New Roman" w:cs="Times New Roman"/>
          <w:sz w:val="24"/>
          <w:szCs w:val="24"/>
        </w:rPr>
        <w:t xml:space="preserve"> </w:t>
      </w:r>
      <w:r>
        <w:rPr>
          <w:rFonts w:ascii="Times New Roman" w:hAnsi="Times New Roman"/>
          <w:sz w:val="24"/>
          <w:szCs w:val="24"/>
        </w:rPr>
        <w:t xml:space="preserve">от ПАО «ЛУКОЙЛ» в </w:t>
      </w:r>
      <w:r>
        <w:rPr>
          <w:rFonts w:ascii="Times New Roman" w:hAnsi="Times New Roman" w:cs="Times New Roman"/>
          <w:sz w:val="24"/>
          <w:szCs w:val="24"/>
        </w:rPr>
        <w:t>сумме 500 тыс. рублей</w:t>
      </w:r>
      <w:r>
        <w:rPr>
          <w:rFonts w:ascii="Times New Roman" w:hAnsi="Times New Roman"/>
          <w:sz w:val="24"/>
          <w:szCs w:val="24"/>
        </w:rPr>
        <w:t xml:space="preserve"> и планируется направить на</w:t>
      </w:r>
      <w:r>
        <w:rPr>
          <w:rFonts w:ascii="Times New Roman" w:hAnsi="Times New Roman" w:cs="Times New Roman"/>
          <w:sz w:val="24"/>
          <w:szCs w:val="24"/>
        </w:rPr>
        <w:t xml:space="preserve"> текущий ремонт фасада и кровли крыши </w:t>
      </w:r>
      <w:r>
        <w:rPr>
          <w:rFonts w:ascii="Times New Roman" w:hAnsi="Times New Roman"/>
          <w:sz w:val="24"/>
          <w:szCs w:val="24"/>
        </w:rPr>
        <w:t>Дома Культуры</w:t>
      </w:r>
      <w:r>
        <w:rPr>
          <w:rFonts w:hint="default" w:ascii="Times New Roman" w:hAnsi="Times New Roman"/>
          <w:sz w:val="24"/>
          <w:szCs w:val="24"/>
          <w:lang w:val="ru-RU"/>
        </w:rPr>
        <w:t>.</w:t>
      </w:r>
    </w:p>
    <w:p w14:paraId="5FA0F74D">
      <w:pPr>
        <w:spacing w:after="0"/>
        <w:ind w:right="-1"/>
        <w:jc w:val="both"/>
        <w:rPr>
          <w:rFonts w:hint="default" w:ascii="Times New Roman" w:hAnsi="Times New Roman"/>
          <w:sz w:val="24"/>
          <w:szCs w:val="24"/>
          <w:lang w:val="ru-RU"/>
        </w:rPr>
      </w:pPr>
      <w:r>
        <w:rPr>
          <w:rFonts w:hint="default" w:ascii="Times New Roman" w:hAnsi="Times New Roman"/>
          <w:sz w:val="24"/>
          <w:szCs w:val="24"/>
          <w:lang w:val="ru-RU"/>
        </w:rPr>
        <w:t>Зарезервированные средства в сумме 804,31 тыс.руб. распределены в соответствии со сводной бюджетной росписи :</w:t>
      </w:r>
    </w:p>
    <w:p w14:paraId="1BD33D8A">
      <w:pPr>
        <w:spacing w:after="0"/>
        <w:ind w:right="-1"/>
        <w:jc w:val="both"/>
        <w:rPr>
          <w:rFonts w:ascii="Times New Roman" w:hAnsi="Times New Roman" w:cs="Times New Roman"/>
          <w:sz w:val="22"/>
          <w:szCs w:val="22"/>
        </w:rPr>
      </w:pPr>
      <w:r>
        <w:rPr>
          <w:rFonts w:hint="default" w:ascii="Times New Roman" w:hAnsi="Times New Roman"/>
          <w:sz w:val="24"/>
          <w:szCs w:val="24"/>
          <w:lang w:val="ru-RU"/>
        </w:rPr>
        <w:t xml:space="preserve"> на</w:t>
      </w:r>
      <w:r>
        <w:rPr>
          <w:rFonts w:ascii="Times New Roman" w:hAnsi="Times New Roman" w:cs="Times New Roman"/>
          <w:sz w:val="24"/>
          <w:szCs w:val="24"/>
        </w:rPr>
        <w:t xml:space="preserve"> непрограммные расходы – зарезервированные средства уменьшились </w:t>
      </w:r>
      <w:r>
        <w:rPr>
          <w:rFonts w:ascii="Times New Roman" w:hAnsi="Times New Roman" w:cs="Times New Roman"/>
          <w:sz w:val="24"/>
          <w:szCs w:val="24"/>
          <w:lang w:val="ru-RU"/>
        </w:rPr>
        <w:t>уточнением</w:t>
      </w:r>
      <w:r>
        <w:rPr>
          <w:rFonts w:hint="default" w:ascii="Times New Roman" w:hAnsi="Times New Roman" w:cs="Times New Roman"/>
          <w:sz w:val="24"/>
          <w:szCs w:val="24"/>
          <w:lang w:val="ru-RU"/>
        </w:rPr>
        <w:t xml:space="preserve"> </w:t>
      </w:r>
      <w:r>
        <w:rPr>
          <w:rFonts w:ascii="Times New Roman" w:hAnsi="Times New Roman" w:cs="Times New Roman"/>
          <w:sz w:val="24"/>
          <w:szCs w:val="24"/>
        </w:rPr>
        <w:t>на сумму 16,44 тыс. рублей и перераспределены по классификации расходов сводной бюджетной ро</w:t>
      </w:r>
      <w:r>
        <w:rPr>
          <w:rFonts w:ascii="Times New Roman" w:hAnsi="Times New Roman"/>
          <w:sz w:val="24"/>
          <w:szCs w:val="24"/>
        </w:rPr>
        <w:t>с</w:t>
      </w:r>
      <w:r>
        <w:rPr>
          <w:rFonts w:ascii="Times New Roman" w:hAnsi="Times New Roman" w:cs="Times New Roman"/>
          <w:sz w:val="24"/>
          <w:szCs w:val="24"/>
        </w:rPr>
        <w:t>писью</w:t>
      </w:r>
      <w:r>
        <w:rPr>
          <w:rFonts w:hint="default" w:ascii="Times New Roman" w:hAnsi="Times New Roman" w:cs="Times New Roman"/>
          <w:sz w:val="24"/>
          <w:szCs w:val="24"/>
          <w:lang w:val="ru-RU"/>
        </w:rPr>
        <w:t xml:space="preserve"> </w:t>
      </w:r>
      <w:bookmarkStart w:id="2" w:name="_GoBack"/>
      <w:bookmarkEnd w:id="2"/>
    </w:p>
    <w:p w14:paraId="6AACDFB8">
      <w:pPr>
        <w:ind w:firstLine="720"/>
        <w:jc w:val="both"/>
        <w:rPr>
          <w:rFonts w:hint="default"/>
          <w:sz w:val="24"/>
          <w:szCs w:val="24"/>
          <w:lang w:val="ru-RU"/>
        </w:rPr>
      </w:pPr>
      <w:r>
        <w:rPr>
          <w:rFonts w:ascii="Times New Roman" w:hAnsi="Times New Roman" w:cs="Times New Roman"/>
          <w:sz w:val="22"/>
          <w:szCs w:val="22"/>
        </w:rPr>
        <w:t xml:space="preserve">  </w:t>
      </w:r>
      <w:r>
        <w:rPr>
          <w:rFonts w:ascii="Times New Roman" w:hAnsi="Times New Roman" w:cs="Times New Roman"/>
          <w:sz w:val="24"/>
          <w:szCs w:val="24"/>
        </w:rPr>
        <w:t xml:space="preserve">-на </w:t>
      </w:r>
      <w:r>
        <w:rPr>
          <w:rFonts w:ascii="Times New Roman" w:hAnsi="Times New Roman" w:cs="Times New Roman"/>
          <w:sz w:val="24"/>
          <w:szCs w:val="24"/>
          <w:lang w:val="ru-RU"/>
        </w:rPr>
        <w:t>прочие</w:t>
      </w:r>
      <w:r>
        <w:rPr>
          <w:rFonts w:hint="default" w:ascii="Times New Roman" w:hAnsi="Times New Roman" w:cs="Times New Roman"/>
          <w:sz w:val="24"/>
          <w:szCs w:val="24"/>
          <w:lang w:val="ru-RU"/>
        </w:rPr>
        <w:t xml:space="preserve"> закупки услуг</w:t>
      </w:r>
      <w:r>
        <w:rPr>
          <w:rFonts w:ascii="Times New Roman" w:hAnsi="Times New Roman" w:cs="Times New Roman"/>
          <w:sz w:val="24"/>
          <w:szCs w:val="24"/>
        </w:rPr>
        <w:t xml:space="preserve"> администрации муниципального образования «Хошеутовский сельсовет»</w:t>
      </w:r>
      <w:r>
        <w:rPr>
          <w:rFonts w:hint="default" w:ascii="Times New Roman" w:hAnsi="Times New Roman" w:cs="Times New Roman"/>
          <w:sz w:val="24"/>
          <w:szCs w:val="24"/>
          <w:lang w:val="ru-RU"/>
        </w:rPr>
        <w:t xml:space="preserve"> (</w:t>
      </w:r>
      <w:r>
        <w:rPr>
          <w:rFonts w:hint="default" w:ascii="Times New Roman" w:hAnsi="Times New Roman" w:cs="Times New Roman"/>
          <w:color w:val="000000"/>
          <w:sz w:val="24"/>
          <w:szCs w:val="24"/>
          <w:lang w:val="ru-RU"/>
        </w:rPr>
        <w:t xml:space="preserve">приобретение АОГВ 70,6 тыс.руб, командировочные Главы администрации 16,63 тыс.руб,услуги стройконтроля 113,0 тыс.руб., изготовление табличек </w:t>
      </w:r>
      <w:r>
        <w:rPr>
          <w:rFonts w:hint="default" w:ascii="Times New Roman" w:hAnsi="Times New Roman"/>
          <w:color w:val="000000"/>
          <w:sz w:val="24"/>
          <w:szCs w:val="24"/>
          <w:lang w:val="ru-RU"/>
        </w:rPr>
        <w:t>на обелиск погибшим воинам ВОВ 9,0 тыс.руб.,</w:t>
      </w:r>
      <w:r>
        <w:rPr>
          <w:rFonts w:hint="default" w:ascii="Times New Roman" w:hAnsi="Times New Roman" w:cs="Times New Roman"/>
          <w:color w:val="000000"/>
          <w:sz w:val="24"/>
          <w:szCs w:val="24"/>
          <w:lang w:val="ru-RU"/>
        </w:rPr>
        <w:t xml:space="preserve"> услуги аренды техники 11,46тыс.руб., приобретение вакуумного насоса 45,0 тыс.руб., на </w:t>
      </w:r>
      <w:r>
        <w:rPr>
          <w:rFonts w:hint="default" w:ascii="Times New Roman" w:hAnsi="Times New Roman" w:cs="Times New Roman"/>
          <w:sz w:val="24"/>
          <w:szCs w:val="24"/>
          <w:lang w:val="ru-RU"/>
        </w:rPr>
        <w:t xml:space="preserve">  </w:t>
      </w:r>
      <w:r>
        <w:rPr>
          <w:rFonts w:ascii="Times New Roman" w:hAnsi="Times New Roman" w:cs="Times New Roman"/>
          <w:color w:val="000000"/>
          <w:sz w:val="24"/>
          <w:szCs w:val="24"/>
        </w:rPr>
        <w:t>постройк</w:t>
      </w:r>
      <w:r>
        <w:rPr>
          <w:rFonts w:ascii="Times New Roman" w:hAnsi="Times New Roman" w:cs="Times New Roman"/>
          <w:color w:val="000000"/>
          <w:sz w:val="24"/>
          <w:szCs w:val="24"/>
          <w:lang w:val="ru-RU"/>
        </w:rPr>
        <w:t>у</w:t>
      </w:r>
      <w:r>
        <w:rPr>
          <w:rFonts w:ascii="Times New Roman" w:hAnsi="Times New Roman" w:cs="Times New Roman"/>
          <w:color w:val="000000"/>
          <w:sz w:val="24"/>
          <w:szCs w:val="24"/>
        </w:rPr>
        <w:t xml:space="preserve"> помещения для диспетчеров пожарной безопасности</w:t>
      </w:r>
      <w:r>
        <w:rPr>
          <w:rFonts w:hint="default" w:ascii="Times New Roman" w:hAnsi="Times New Roman" w:cs="Times New Roman"/>
          <w:color w:val="000000"/>
          <w:sz w:val="24"/>
          <w:szCs w:val="24"/>
          <w:lang w:val="ru-RU"/>
        </w:rPr>
        <w:t xml:space="preserve"> 138,43 тыс.руб., коммунальные услуги 10,0 тыс.руб. на инициативное бюджетирование текущего ремонта Парка павшим героям отечества в сумме 121,53 тыс.руб, на приобретение спортинвентаря 15,0 тыс.руб., для текущего ремонта ДК с. Хошеутово 160,0 тыс.руб, расходы на охрану объекта ДК 35,36 тыс.руб. На приобретение товаров ДК (</w:t>
      </w:r>
      <w:r>
        <w:rPr>
          <w:rFonts w:hint="default"/>
          <w:sz w:val="24"/>
          <w:szCs w:val="24"/>
          <w:lang w:val="ru-RU"/>
        </w:rPr>
        <w:t>флагстоки, усилитель вайфая, шнуровые микрофоны,кулер для воды на сумму  41,9 тыс.руб.)</w:t>
      </w:r>
    </w:p>
    <w:p w14:paraId="6AC7D333">
      <w:pPr>
        <w:tabs>
          <w:tab w:val="left" w:pos="567"/>
        </w:tabs>
        <w:spacing w:after="0"/>
        <w:jc w:val="both"/>
        <w:rPr>
          <w:rFonts w:ascii="Times New Roman" w:hAnsi="Times New Roman" w:cs="Times New Roman"/>
          <w:sz w:val="24"/>
          <w:szCs w:val="24"/>
        </w:rPr>
      </w:pPr>
      <w:r>
        <w:rPr>
          <w:rFonts w:ascii="Times New Roman" w:hAnsi="Times New Roman" w:cs="Times New Roman"/>
          <w:sz w:val="24"/>
          <w:szCs w:val="24"/>
        </w:rPr>
        <w:t>Таким образом зарезервированные средства равны нулю.</w:t>
      </w:r>
    </w:p>
    <w:p w14:paraId="1D467C7A">
      <w:pPr>
        <w:tabs>
          <w:tab w:val="left" w:pos="567"/>
        </w:tabs>
        <w:spacing w:after="0"/>
        <w:jc w:val="both"/>
        <w:rPr>
          <w:rFonts w:ascii="Times New Roman" w:hAnsi="Times New Roman" w:cs="Times New Roman"/>
          <w:sz w:val="24"/>
          <w:szCs w:val="24"/>
        </w:rPr>
      </w:pPr>
      <w:r>
        <w:rPr>
          <w:rFonts w:ascii="Times New Roman" w:hAnsi="Times New Roman" w:cs="Times New Roman"/>
          <w:sz w:val="24"/>
          <w:szCs w:val="24"/>
        </w:rPr>
        <w:t xml:space="preserve">     Уменьшение расходов не приведет к кредиторской задолженности.</w:t>
      </w:r>
    </w:p>
    <w:p w14:paraId="664DB9AB">
      <w:pPr>
        <w:tabs>
          <w:tab w:val="left" w:pos="567"/>
        </w:tabs>
        <w:spacing w:after="0"/>
        <w:jc w:val="both"/>
        <w:rPr>
          <w:rFonts w:ascii="Times New Roman" w:hAnsi="Times New Roman" w:cs="Times New Roman"/>
          <w:sz w:val="24"/>
          <w:szCs w:val="24"/>
        </w:rPr>
      </w:pPr>
      <w:r>
        <w:rPr>
          <w:rFonts w:ascii="Times New Roman" w:hAnsi="Times New Roman" w:cs="Times New Roman"/>
          <w:color w:val="000000" w:themeColor="text1"/>
          <w:sz w:val="24"/>
          <w:szCs w:val="24"/>
          <w14:textFill>
            <w14:solidFill>
              <w14:schemeClr w14:val="tx1"/>
            </w14:solidFill>
          </w14:textFill>
        </w:rPr>
        <w:t xml:space="preserve">     Общий объем расходов бюджета Хошеутовского сельсовета в 2025 году определен в сумме 24271,3 тыс. руб., с учётом остатка средств на счёте бюджета, сложившиеся по состоянию на 01.01.2025 года в сумме 7852,68 тыс. руб.</w:t>
      </w:r>
      <w:r>
        <w:rPr>
          <w:rFonts w:ascii="Times New Roman" w:hAnsi="Times New Roman" w:cs="Times New Roman"/>
          <w:sz w:val="24"/>
          <w:szCs w:val="24"/>
        </w:rPr>
        <w:t xml:space="preserve"> </w:t>
      </w:r>
    </w:p>
    <w:p w14:paraId="423DD1BE">
      <w:pPr>
        <w:spacing w:after="0"/>
        <w:ind w:right="-568" w:rightChars="-258" w:firstLine="715" w:firstLineChars="298"/>
        <w:jc w:val="both"/>
        <w:rPr>
          <w:rFonts w:ascii="Times New Roman" w:hAnsi="Times New Roman" w:cs="Times New Roman"/>
          <w:sz w:val="24"/>
          <w:szCs w:val="24"/>
        </w:rPr>
      </w:pPr>
    </w:p>
    <w:p w14:paraId="16C6E9E8">
      <w:pPr>
        <w:ind w:left="-565" w:leftChars="-257" w:right="-568" w:rightChars="-258"/>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3.Дефицит.</w:t>
      </w:r>
    </w:p>
    <w:p w14:paraId="7AC29FAA">
      <w:pPr>
        <w:pStyle w:val="10"/>
        <w:widowControl/>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 </w:t>
      </w:r>
      <w:r>
        <w:rPr>
          <w:rFonts w:ascii="Times New Roman" w:hAnsi="Times New Roman" w:cs="Times New Roman"/>
          <w:color w:val="000000" w:themeColor="text1"/>
          <w:sz w:val="24"/>
          <w:szCs w:val="24"/>
          <w14:textFill>
            <w14:solidFill>
              <w14:schemeClr w14:val="tx1"/>
            </w14:solidFill>
          </w14:textFill>
        </w:rPr>
        <w:t>Таким образом, основные параметры бюджета муниципального образования «Сельское поселение Хошеутовский сельсовет Харабалинского муниципального района Астраханской области» на 2025 год составят:</w:t>
      </w:r>
    </w:p>
    <w:p w14:paraId="71109AC9">
      <w:pPr>
        <w:snapToGrid w:val="0"/>
        <w:spacing w:after="0" w:line="240" w:lineRule="auto"/>
        <w:ind w:right="-568" w:rightChars="-258"/>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        доходы – 16418,62 тыс. руб.;      </w:t>
      </w:r>
    </w:p>
    <w:p w14:paraId="1366907F">
      <w:pPr>
        <w:snapToGrid w:val="0"/>
        <w:spacing w:after="0" w:line="240" w:lineRule="auto"/>
        <w:ind w:right="-568" w:rightChars="-258"/>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        расходы - 24271,3 тыс. руб.;</w:t>
      </w:r>
    </w:p>
    <w:p w14:paraId="5BF8FBB3">
      <w:pPr>
        <w:pStyle w:val="15"/>
        <w:spacing w:after="0" w:line="240" w:lineRule="auto"/>
        <w:ind w:left="0" w:right="-1"/>
        <w:jc w:val="both"/>
        <w:rPr>
          <w:rFonts w:ascii="Times New Roman" w:hAnsi="Times New Roman"/>
          <w:sz w:val="24"/>
          <w:szCs w:val="24"/>
        </w:rPr>
      </w:pPr>
      <w:r>
        <w:rPr>
          <w:rFonts w:ascii="Times New Roman" w:hAnsi="Times New Roman"/>
          <w:color w:val="000000" w:themeColor="text1"/>
          <w:sz w:val="24"/>
          <w:szCs w:val="24"/>
          <w14:textFill>
            <w14:solidFill>
              <w14:schemeClr w14:val="tx1"/>
            </w14:solidFill>
          </w14:textFill>
        </w:rPr>
        <w:t xml:space="preserve">        дефицит - 7852,68 тыс. рублей, </w:t>
      </w:r>
      <w:r>
        <w:rPr>
          <w:rFonts w:ascii="Times New Roman" w:hAnsi="Times New Roman"/>
          <w:sz w:val="24"/>
          <w:szCs w:val="24"/>
        </w:rPr>
        <w:t>в том числе 0 рублей без учета изменения    остатка средств бюджета на счете, что составляет 0 процентов от собственных доходов за исключением остатка средств бюджета на счете по состоянию на 01.01.2025 г. в сумме 7852,68 тыс. рублей.</w:t>
      </w:r>
    </w:p>
    <w:p w14:paraId="6187B33E">
      <w:pPr>
        <w:tabs>
          <w:tab w:val="left" w:pos="0"/>
        </w:tabs>
        <w:snapToGrid w:val="0"/>
        <w:spacing w:line="240" w:lineRule="atLeast"/>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решении заработная плата всех категорий работников, в том числе по Указам Президента РФ предусмотрена в полном объёме (работникам культуры исходя из целевого </w:t>
      </w:r>
      <w:r>
        <w:rPr>
          <w:rFonts w:ascii="Times New Roman" w:hAnsi="Times New Roman" w:cs="Times New Roman"/>
          <w:sz w:val="24"/>
          <w:szCs w:val="24"/>
        </w:rPr>
        <w:t xml:space="preserve">показателя 47389,90 </w:t>
      </w:r>
      <w:r>
        <w:rPr>
          <w:rFonts w:ascii="Times New Roman" w:hAnsi="Times New Roman" w:cs="Times New Roman"/>
          <w:color w:val="000000" w:themeColor="text1"/>
          <w:sz w:val="24"/>
          <w:szCs w:val="24"/>
          <w14:textFill>
            <w14:solidFill>
              <w14:schemeClr w14:val="tx1"/>
            </w14:solidFill>
          </w14:textFill>
        </w:rPr>
        <w:t>руб.) расходы социально-значимого характера, а также коммунальные расходы в проекте с учётом изменений предусмотрены в полном объёме.</w:t>
      </w:r>
    </w:p>
    <w:tbl>
      <w:tblPr>
        <w:tblStyle w:val="3"/>
        <w:tblW w:w="9854" w:type="dxa"/>
        <w:tblInd w:w="-108" w:type="dxa"/>
        <w:tblLayout w:type="autofit"/>
        <w:tblCellMar>
          <w:top w:w="0" w:type="dxa"/>
          <w:left w:w="108" w:type="dxa"/>
          <w:bottom w:w="0" w:type="dxa"/>
          <w:right w:w="108" w:type="dxa"/>
        </w:tblCellMar>
      </w:tblPr>
      <w:tblGrid>
        <w:gridCol w:w="2945"/>
        <w:gridCol w:w="4072"/>
        <w:gridCol w:w="2837"/>
      </w:tblGrid>
      <w:tr w14:paraId="5A79E636">
        <w:tblPrEx>
          <w:tblCellMar>
            <w:top w:w="0" w:type="dxa"/>
            <w:left w:w="108" w:type="dxa"/>
            <w:bottom w:w="0" w:type="dxa"/>
            <w:right w:w="108" w:type="dxa"/>
          </w:tblCellMar>
        </w:tblPrEx>
        <w:trPr>
          <w:trHeight w:val="2202" w:hRule="atLeast"/>
        </w:trPr>
        <w:tc>
          <w:tcPr>
            <w:tcW w:w="2945" w:type="dxa"/>
          </w:tcPr>
          <w:p w14:paraId="513D69CE">
            <w:pPr>
              <w:jc w:val="center"/>
            </w:pPr>
          </w:p>
          <w:p w14:paraId="7FB236B2">
            <w:pPr>
              <w:jc w:val="center"/>
              <w:rPr>
                <w:sz w:val="28"/>
                <w:szCs w:val="28"/>
              </w:rPr>
            </w:pPr>
            <w:r>
              <w:rPr>
                <w:rFonts w:ascii="Times New Roman" w:hAnsi="Times New Roman" w:cs="Times New Roman"/>
                <w:sz w:val="24"/>
                <w:szCs w:val="24"/>
              </w:rPr>
              <w:t>Глава  муниципального образования «Хошеутовский сельсовет»</w:t>
            </w:r>
          </w:p>
        </w:tc>
        <w:tc>
          <w:tcPr>
            <w:tcW w:w="4072" w:type="dxa"/>
          </w:tcPr>
          <w:p w14:paraId="007BFAA3">
            <w:pPr>
              <w:jc w:val="center"/>
              <w:rPr>
                <w:b/>
                <w:sz w:val="28"/>
                <w:szCs w:val="28"/>
              </w:rPr>
            </w:pPr>
            <w:r>
              <w:rPr>
                <w:b/>
              </w:rPr>
              <w:drawing>
                <wp:inline distT="0" distB="0" distL="114300" distR="114300">
                  <wp:extent cx="1685925" cy="1440180"/>
                  <wp:effectExtent l="0" t="0" r="5715" b="7620"/>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6"/>
                          <a:stretch>
                            <a:fillRect/>
                          </a:stretch>
                        </pic:blipFill>
                        <pic:spPr>
                          <a:xfrm>
                            <a:off x="0" y="0"/>
                            <a:ext cx="1685925" cy="1440180"/>
                          </a:xfrm>
                          <a:prstGeom prst="rect">
                            <a:avLst/>
                          </a:prstGeom>
                          <a:noFill/>
                          <a:ln>
                            <a:noFill/>
                          </a:ln>
                        </pic:spPr>
                      </pic:pic>
                    </a:graphicData>
                  </a:graphic>
                </wp:inline>
              </w:drawing>
            </w:r>
          </w:p>
        </w:tc>
        <w:tc>
          <w:tcPr>
            <w:tcW w:w="2837" w:type="dxa"/>
          </w:tcPr>
          <w:p w14:paraId="6FB74AEA">
            <w:pPr>
              <w:jc w:val="center"/>
            </w:pPr>
          </w:p>
          <w:p w14:paraId="474A44F8">
            <w:pPr>
              <w:ind w:firstLine="110" w:firstLineChars="50"/>
              <w:jc w:val="center"/>
            </w:pPr>
          </w:p>
          <w:p w14:paraId="70A1A4CB">
            <w:pPr>
              <w:ind w:firstLine="120" w:firstLineChars="50"/>
              <w:jc w:val="center"/>
              <w:rPr>
                <w:sz w:val="28"/>
                <w:szCs w:val="28"/>
              </w:rPr>
            </w:pPr>
            <w:r>
              <w:rPr>
                <w:rFonts w:ascii="Times New Roman" w:hAnsi="Times New Roman" w:cs="Times New Roman"/>
                <w:sz w:val="24"/>
                <w:szCs w:val="24"/>
              </w:rPr>
              <w:t>Байсмаков А.Н.</w:t>
            </w:r>
          </w:p>
        </w:tc>
      </w:tr>
    </w:tbl>
    <w:p w14:paraId="58A16195">
      <w:pPr>
        <w:tabs>
          <w:tab w:val="left" w:pos="0"/>
        </w:tabs>
        <w:snapToGrid w:val="0"/>
        <w:spacing w:after="0" w:line="240" w:lineRule="atLeast"/>
        <w:ind w:right="-1"/>
        <w:jc w:val="both"/>
        <w:rPr>
          <w:rFonts w:ascii="Times New Roman" w:hAnsi="Times New Roman" w:cs="Times New Roman"/>
          <w:color w:val="000000" w:themeColor="text1"/>
          <w:sz w:val="24"/>
          <w:szCs w:val="24"/>
          <w14:textFill>
            <w14:solidFill>
              <w14:schemeClr w14:val="tx1"/>
            </w14:solidFill>
          </w14:textFill>
        </w:rPr>
      </w:pPr>
    </w:p>
    <w:p w14:paraId="69B744AC">
      <w:pPr>
        <w:tabs>
          <w:tab w:val="left" w:pos="567"/>
        </w:tabs>
        <w:spacing w:after="0"/>
        <w:ind w:right="-568" w:rightChars="-258"/>
        <w:jc w:val="both"/>
        <w:rPr>
          <w:rFonts w:ascii="Times New Roman" w:hAnsi="Times New Roman" w:cs="Times New Roman"/>
          <w:sz w:val="28"/>
          <w:szCs w:val="28"/>
        </w:rPr>
      </w:pPr>
      <w:r>
        <w:rPr>
          <w:rFonts w:ascii="Times New Roman" w:hAnsi="Times New Roman" w:cs="Times New Roman"/>
          <w:sz w:val="28"/>
          <w:szCs w:val="28"/>
        </w:rPr>
        <w:t xml:space="preserve"> </w:t>
      </w:r>
    </w:p>
    <w:sectPr>
      <w:pgSz w:w="11906" w:h="16838"/>
      <w:pgMar w:top="567" w:right="424" w:bottom="1145" w:left="1276" w:header="709" w:footer="709"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F4"/>
    <w:rsid w:val="00000218"/>
    <w:rsid w:val="00001090"/>
    <w:rsid w:val="000019B5"/>
    <w:rsid w:val="000079D3"/>
    <w:rsid w:val="000125B7"/>
    <w:rsid w:val="00012649"/>
    <w:rsid w:val="0001344C"/>
    <w:rsid w:val="00020EE8"/>
    <w:rsid w:val="00021038"/>
    <w:rsid w:val="00021A12"/>
    <w:rsid w:val="00021BFF"/>
    <w:rsid w:val="00022C94"/>
    <w:rsid w:val="00022CCC"/>
    <w:rsid w:val="00023FDF"/>
    <w:rsid w:val="000354C7"/>
    <w:rsid w:val="000360DA"/>
    <w:rsid w:val="00043579"/>
    <w:rsid w:val="000453EC"/>
    <w:rsid w:val="00051CD2"/>
    <w:rsid w:val="0005694C"/>
    <w:rsid w:val="00061056"/>
    <w:rsid w:val="000617E3"/>
    <w:rsid w:val="00062CF0"/>
    <w:rsid w:val="00062F1F"/>
    <w:rsid w:val="00067348"/>
    <w:rsid w:val="00067E4A"/>
    <w:rsid w:val="00072DB3"/>
    <w:rsid w:val="00074F6B"/>
    <w:rsid w:val="0007602B"/>
    <w:rsid w:val="000763A3"/>
    <w:rsid w:val="00076BFF"/>
    <w:rsid w:val="0008008B"/>
    <w:rsid w:val="0008122C"/>
    <w:rsid w:val="000822B8"/>
    <w:rsid w:val="00083C73"/>
    <w:rsid w:val="000847A4"/>
    <w:rsid w:val="0009115A"/>
    <w:rsid w:val="000918CD"/>
    <w:rsid w:val="00096BAE"/>
    <w:rsid w:val="00096D6C"/>
    <w:rsid w:val="000A463F"/>
    <w:rsid w:val="000A7A3D"/>
    <w:rsid w:val="000B3A26"/>
    <w:rsid w:val="000B4299"/>
    <w:rsid w:val="000B4482"/>
    <w:rsid w:val="000B483F"/>
    <w:rsid w:val="000B6022"/>
    <w:rsid w:val="000C0A27"/>
    <w:rsid w:val="000C120C"/>
    <w:rsid w:val="000C2F73"/>
    <w:rsid w:val="000C34FA"/>
    <w:rsid w:val="000C3F3D"/>
    <w:rsid w:val="000C528C"/>
    <w:rsid w:val="000C53EB"/>
    <w:rsid w:val="000C5867"/>
    <w:rsid w:val="000C6922"/>
    <w:rsid w:val="000D15C3"/>
    <w:rsid w:val="000D29D7"/>
    <w:rsid w:val="000D5032"/>
    <w:rsid w:val="000D59B0"/>
    <w:rsid w:val="000D61DD"/>
    <w:rsid w:val="000E2BCB"/>
    <w:rsid w:val="000E38D0"/>
    <w:rsid w:val="000E3C49"/>
    <w:rsid w:val="000E6C35"/>
    <w:rsid w:val="000F1A67"/>
    <w:rsid w:val="000F2600"/>
    <w:rsid w:val="000F501A"/>
    <w:rsid w:val="000F5257"/>
    <w:rsid w:val="000F5D71"/>
    <w:rsid w:val="000F7C80"/>
    <w:rsid w:val="001024F4"/>
    <w:rsid w:val="00104315"/>
    <w:rsid w:val="00107855"/>
    <w:rsid w:val="001121AD"/>
    <w:rsid w:val="001145EB"/>
    <w:rsid w:val="00115CDE"/>
    <w:rsid w:val="00115F4D"/>
    <w:rsid w:val="00117D6B"/>
    <w:rsid w:val="0012026D"/>
    <w:rsid w:val="00121688"/>
    <w:rsid w:val="001226E4"/>
    <w:rsid w:val="00123908"/>
    <w:rsid w:val="00124744"/>
    <w:rsid w:val="0012661A"/>
    <w:rsid w:val="00126D6D"/>
    <w:rsid w:val="0012793C"/>
    <w:rsid w:val="001279C8"/>
    <w:rsid w:val="00135514"/>
    <w:rsid w:val="001372E9"/>
    <w:rsid w:val="001424E1"/>
    <w:rsid w:val="00142E1E"/>
    <w:rsid w:val="00147D55"/>
    <w:rsid w:val="001513E2"/>
    <w:rsid w:val="00154239"/>
    <w:rsid w:val="00157A40"/>
    <w:rsid w:val="00161FA1"/>
    <w:rsid w:val="0016351B"/>
    <w:rsid w:val="00163DFD"/>
    <w:rsid w:val="001648F4"/>
    <w:rsid w:val="00164A3C"/>
    <w:rsid w:val="00166352"/>
    <w:rsid w:val="00170191"/>
    <w:rsid w:val="001708AF"/>
    <w:rsid w:val="00171ABE"/>
    <w:rsid w:val="00174E9A"/>
    <w:rsid w:val="001752E9"/>
    <w:rsid w:val="00176759"/>
    <w:rsid w:val="00177892"/>
    <w:rsid w:val="00177954"/>
    <w:rsid w:val="00181101"/>
    <w:rsid w:val="001814E7"/>
    <w:rsid w:val="00181544"/>
    <w:rsid w:val="00183F23"/>
    <w:rsid w:val="00184456"/>
    <w:rsid w:val="0018588C"/>
    <w:rsid w:val="001859C7"/>
    <w:rsid w:val="00186C24"/>
    <w:rsid w:val="00187EEC"/>
    <w:rsid w:val="001903D0"/>
    <w:rsid w:val="00195140"/>
    <w:rsid w:val="001A00F4"/>
    <w:rsid w:val="001A05C0"/>
    <w:rsid w:val="001A0F6A"/>
    <w:rsid w:val="001A197C"/>
    <w:rsid w:val="001A27A1"/>
    <w:rsid w:val="001A44E7"/>
    <w:rsid w:val="001A60DC"/>
    <w:rsid w:val="001A6BF6"/>
    <w:rsid w:val="001A6BFB"/>
    <w:rsid w:val="001B0134"/>
    <w:rsid w:val="001B0C98"/>
    <w:rsid w:val="001B134C"/>
    <w:rsid w:val="001B4580"/>
    <w:rsid w:val="001B57BB"/>
    <w:rsid w:val="001B76E9"/>
    <w:rsid w:val="001C341F"/>
    <w:rsid w:val="001C3922"/>
    <w:rsid w:val="001C4BF5"/>
    <w:rsid w:val="001D0DA0"/>
    <w:rsid w:val="001D0EE2"/>
    <w:rsid w:val="001D2D6D"/>
    <w:rsid w:val="001D39B4"/>
    <w:rsid w:val="001D5E9A"/>
    <w:rsid w:val="001D6BC7"/>
    <w:rsid w:val="001D7CB3"/>
    <w:rsid w:val="001E3648"/>
    <w:rsid w:val="001E43E5"/>
    <w:rsid w:val="001E482D"/>
    <w:rsid w:val="001E48AF"/>
    <w:rsid w:val="001E48E9"/>
    <w:rsid w:val="001E5F61"/>
    <w:rsid w:val="001E770D"/>
    <w:rsid w:val="001F0589"/>
    <w:rsid w:val="001F0FF4"/>
    <w:rsid w:val="001F1A7D"/>
    <w:rsid w:val="001F3E9C"/>
    <w:rsid w:val="001F451D"/>
    <w:rsid w:val="001F7287"/>
    <w:rsid w:val="001F7AE1"/>
    <w:rsid w:val="00200283"/>
    <w:rsid w:val="00201A70"/>
    <w:rsid w:val="00203A8E"/>
    <w:rsid w:val="00207BC9"/>
    <w:rsid w:val="002104EF"/>
    <w:rsid w:val="00212009"/>
    <w:rsid w:val="00212428"/>
    <w:rsid w:val="0021272B"/>
    <w:rsid w:val="00213ABC"/>
    <w:rsid w:val="002147AA"/>
    <w:rsid w:val="002158DB"/>
    <w:rsid w:val="002168E6"/>
    <w:rsid w:val="00221579"/>
    <w:rsid w:val="002250C8"/>
    <w:rsid w:val="0023064E"/>
    <w:rsid w:val="0023139A"/>
    <w:rsid w:val="0023569B"/>
    <w:rsid w:val="00240283"/>
    <w:rsid w:val="002471D0"/>
    <w:rsid w:val="00247E7E"/>
    <w:rsid w:val="00250EA3"/>
    <w:rsid w:val="00251F16"/>
    <w:rsid w:val="00254741"/>
    <w:rsid w:val="002548B8"/>
    <w:rsid w:val="00255B07"/>
    <w:rsid w:val="002621CE"/>
    <w:rsid w:val="00263D26"/>
    <w:rsid w:val="00264B37"/>
    <w:rsid w:val="00265B27"/>
    <w:rsid w:val="002660E4"/>
    <w:rsid w:val="0026649A"/>
    <w:rsid w:val="00271C17"/>
    <w:rsid w:val="0027288C"/>
    <w:rsid w:val="00272CFE"/>
    <w:rsid w:val="00273ADF"/>
    <w:rsid w:val="00273BDF"/>
    <w:rsid w:val="002753A8"/>
    <w:rsid w:val="002809BB"/>
    <w:rsid w:val="0029055E"/>
    <w:rsid w:val="00293E6E"/>
    <w:rsid w:val="0029403C"/>
    <w:rsid w:val="00294063"/>
    <w:rsid w:val="0029496E"/>
    <w:rsid w:val="00295B96"/>
    <w:rsid w:val="00296FF1"/>
    <w:rsid w:val="002A0511"/>
    <w:rsid w:val="002A0E97"/>
    <w:rsid w:val="002A10AB"/>
    <w:rsid w:val="002A18DF"/>
    <w:rsid w:val="002A3406"/>
    <w:rsid w:val="002A5266"/>
    <w:rsid w:val="002A56DF"/>
    <w:rsid w:val="002A6EBB"/>
    <w:rsid w:val="002B12FD"/>
    <w:rsid w:val="002B1CCD"/>
    <w:rsid w:val="002B1CFB"/>
    <w:rsid w:val="002B2315"/>
    <w:rsid w:val="002B28B2"/>
    <w:rsid w:val="002B396E"/>
    <w:rsid w:val="002B588E"/>
    <w:rsid w:val="002C0895"/>
    <w:rsid w:val="002C2919"/>
    <w:rsid w:val="002C37EE"/>
    <w:rsid w:val="002C56DF"/>
    <w:rsid w:val="002C6327"/>
    <w:rsid w:val="002C668C"/>
    <w:rsid w:val="002D0683"/>
    <w:rsid w:val="002D4777"/>
    <w:rsid w:val="002D62E6"/>
    <w:rsid w:val="002D72DA"/>
    <w:rsid w:val="002E1B76"/>
    <w:rsid w:val="002E2559"/>
    <w:rsid w:val="002E2D57"/>
    <w:rsid w:val="002E79DF"/>
    <w:rsid w:val="002E7F25"/>
    <w:rsid w:val="003009D9"/>
    <w:rsid w:val="003048AD"/>
    <w:rsid w:val="00304DCA"/>
    <w:rsid w:val="003075EC"/>
    <w:rsid w:val="00310D12"/>
    <w:rsid w:val="003138B5"/>
    <w:rsid w:val="0031645C"/>
    <w:rsid w:val="00317969"/>
    <w:rsid w:val="00317F47"/>
    <w:rsid w:val="00320862"/>
    <w:rsid w:val="00321B62"/>
    <w:rsid w:val="0032594F"/>
    <w:rsid w:val="00326C29"/>
    <w:rsid w:val="003319C5"/>
    <w:rsid w:val="003322CD"/>
    <w:rsid w:val="00334F13"/>
    <w:rsid w:val="00337375"/>
    <w:rsid w:val="00341CF3"/>
    <w:rsid w:val="0034359F"/>
    <w:rsid w:val="00353238"/>
    <w:rsid w:val="003556C5"/>
    <w:rsid w:val="00356595"/>
    <w:rsid w:val="0035730B"/>
    <w:rsid w:val="00357619"/>
    <w:rsid w:val="00366811"/>
    <w:rsid w:val="00366CDC"/>
    <w:rsid w:val="003712D7"/>
    <w:rsid w:val="00373530"/>
    <w:rsid w:val="003735D7"/>
    <w:rsid w:val="00373B1F"/>
    <w:rsid w:val="003757DA"/>
    <w:rsid w:val="0037652C"/>
    <w:rsid w:val="00380CE9"/>
    <w:rsid w:val="00381A1B"/>
    <w:rsid w:val="00382DCC"/>
    <w:rsid w:val="00385866"/>
    <w:rsid w:val="003861A0"/>
    <w:rsid w:val="003876F2"/>
    <w:rsid w:val="003920A4"/>
    <w:rsid w:val="003951B6"/>
    <w:rsid w:val="0039763C"/>
    <w:rsid w:val="003A224C"/>
    <w:rsid w:val="003A518D"/>
    <w:rsid w:val="003B02C9"/>
    <w:rsid w:val="003B0C64"/>
    <w:rsid w:val="003B6136"/>
    <w:rsid w:val="003B6DF6"/>
    <w:rsid w:val="003C4203"/>
    <w:rsid w:val="003C42F4"/>
    <w:rsid w:val="003C6F9A"/>
    <w:rsid w:val="003D0226"/>
    <w:rsid w:val="003D0313"/>
    <w:rsid w:val="003D3BDC"/>
    <w:rsid w:val="003D714E"/>
    <w:rsid w:val="003E0848"/>
    <w:rsid w:val="003E0CFD"/>
    <w:rsid w:val="003E3376"/>
    <w:rsid w:val="003E446E"/>
    <w:rsid w:val="003F170F"/>
    <w:rsid w:val="003F3FD0"/>
    <w:rsid w:val="003F5436"/>
    <w:rsid w:val="003F56EA"/>
    <w:rsid w:val="003F682A"/>
    <w:rsid w:val="003F6DDD"/>
    <w:rsid w:val="00400C63"/>
    <w:rsid w:val="00402E3D"/>
    <w:rsid w:val="0040300C"/>
    <w:rsid w:val="00403C9A"/>
    <w:rsid w:val="00411501"/>
    <w:rsid w:val="00411B7F"/>
    <w:rsid w:val="004122A3"/>
    <w:rsid w:val="00412E39"/>
    <w:rsid w:val="0041470E"/>
    <w:rsid w:val="00416938"/>
    <w:rsid w:val="00417D91"/>
    <w:rsid w:val="00420C56"/>
    <w:rsid w:val="0042113E"/>
    <w:rsid w:val="004227C0"/>
    <w:rsid w:val="00423F3B"/>
    <w:rsid w:val="00427A82"/>
    <w:rsid w:val="00430204"/>
    <w:rsid w:val="00430D42"/>
    <w:rsid w:val="004320D7"/>
    <w:rsid w:val="00434320"/>
    <w:rsid w:val="00434405"/>
    <w:rsid w:val="00434E46"/>
    <w:rsid w:val="0043571D"/>
    <w:rsid w:val="004413C3"/>
    <w:rsid w:val="00441A25"/>
    <w:rsid w:val="004459D1"/>
    <w:rsid w:val="00446ED2"/>
    <w:rsid w:val="00450BF9"/>
    <w:rsid w:val="00451D28"/>
    <w:rsid w:val="00452D0D"/>
    <w:rsid w:val="00452D92"/>
    <w:rsid w:val="00452FB5"/>
    <w:rsid w:val="00453388"/>
    <w:rsid w:val="00453E9E"/>
    <w:rsid w:val="00455A37"/>
    <w:rsid w:val="0046399D"/>
    <w:rsid w:val="00465383"/>
    <w:rsid w:val="00465801"/>
    <w:rsid w:val="004664CA"/>
    <w:rsid w:val="004714C5"/>
    <w:rsid w:val="00472ECA"/>
    <w:rsid w:val="0047602F"/>
    <w:rsid w:val="0047693D"/>
    <w:rsid w:val="00480DF0"/>
    <w:rsid w:val="00481DE2"/>
    <w:rsid w:val="00483146"/>
    <w:rsid w:val="00483A33"/>
    <w:rsid w:val="00490A60"/>
    <w:rsid w:val="0049210D"/>
    <w:rsid w:val="004921A1"/>
    <w:rsid w:val="00492644"/>
    <w:rsid w:val="00492687"/>
    <w:rsid w:val="00493E56"/>
    <w:rsid w:val="00494EEE"/>
    <w:rsid w:val="00496B87"/>
    <w:rsid w:val="00497F61"/>
    <w:rsid w:val="004A1AA1"/>
    <w:rsid w:val="004A21CC"/>
    <w:rsid w:val="004A3F88"/>
    <w:rsid w:val="004A480A"/>
    <w:rsid w:val="004A5C62"/>
    <w:rsid w:val="004A7AC6"/>
    <w:rsid w:val="004B2935"/>
    <w:rsid w:val="004B4202"/>
    <w:rsid w:val="004B4568"/>
    <w:rsid w:val="004B4582"/>
    <w:rsid w:val="004B711E"/>
    <w:rsid w:val="004C242F"/>
    <w:rsid w:val="004C2ACF"/>
    <w:rsid w:val="004C7A12"/>
    <w:rsid w:val="004D120C"/>
    <w:rsid w:val="004D13CB"/>
    <w:rsid w:val="004D28CF"/>
    <w:rsid w:val="004D3EF3"/>
    <w:rsid w:val="004D49C2"/>
    <w:rsid w:val="004D5EEF"/>
    <w:rsid w:val="004D661F"/>
    <w:rsid w:val="004D6C32"/>
    <w:rsid w:val="004D7C36"/>
    <w:rsid w:val="004E0061"/>
    <w:rsid w:val="004E1026"/>
    <w:rsid w:val="004E1534"/>
    <w:rsid w:val="004E2664"/>
    <w:rsid w:val="004E30D0"/>
    <w:rsid w:val="004E3672"/>
    <w:rsid w:val="004E3A31"/>
    <w:rsid w:val="004E3DD3"/>
    <w:rsid w:val="004E4B6E"/>
    <w:rsid w:val="004E4DE7"/>
    <w:rsid w:val="004F0E59"/>
    <w:rsid w:val="004F1A10"/>
    <w:rsid w:val="004F1B22"/>
    <w:rsid w:val="004F4B65"/>
    <w:rsid w:val="00500875"/>
    <w:rsid w:val="00501274"/>
    <w:rsid w:val="0050234C"/>
    <w:rsid w:val="00505F8D"/>
    <w:rsid w:val="005061D9"/>
    <w:rsid w:val="0050756E"/>
    <w:rsid w:val="00510119"/>
    <w:rsid w:val="00510611"/>
    <w:rsid w:val="0051354E"/>
    <w:rsid w:val="005150D1"/>
    <w:rsid w:val="00515624"/>
    <w:rsid w:val="0051759E"/>
    <w:rsid w:val="00530157"/>
    <w:rsid w:val="005352EF"/>
    <w:rsid w:val="00540A78"/>
    <w:rsid w:val="0054126E"/>
    <w:rsid w:val="00543574"/>
    <w:rsid w:val="00543701"/>
    <w:rsid w:val="00544947"/>
    <w:rsid w:val="00552554"/>
    <w:rsid w:val="00553079"/>
    <w:rsid w:val="00556E1A"/>
    <w:rsid w:val="00560A2F"/>
    <w:rsid w:val="00560C42"/>
    <w:rsid w:val="00560F99"/>
    <w:rsid w:val="00563DEF"/>
    <w:rsid w:val="005718F9"/>
    <w:rsid w:val="0057588D"/>
    <w:rsid w:val="005765FB"/>
    <w:rsid w:val="00577F0B"/>
    <w:rsid w:val="00581322"/>
    <w:rsid w:val="0058296C"/>
    <w:rsid w:val="00584DF0"/>
    <w:rsid w:val="005853E7"/>
    <w:rsid w:val="00591535"/>
    <w:rsid w:val="005921C7"/>
    <w:rsid w:val="00594517"/>
    <w:rsid w:val="005949B6"/>
    <w:rsid w:val="00594CBA"/>
    <w:rsid w:val="00597267"/>
    <w:rsid w:val="005A0731"/>
    <w:rsid w:val="005A1C38"/>
    <w:rsid w:val="005A35A8"/>
    <w:rsid w:val="005A44DE"/>
    <w:rsid w:val="005A4B86"/>
    <w:rsid w:val="005A72D1"/>
    <w:rsid w:val="005B175A"/>
    <w:rsid w:val="005B5998"/>
    <w:rsid w:val="005B5A54"/>
    <w:rsid w:val="005B5D60"/>
    <w:rsid w:val="005B79E5"/>
    <w:rsid w:val="005B7A12"/>
    <w:rsid w:val="005C1375"/>
    <w:rsid w:val="005C1985"/>
    <w:rsid w:val="005C2712"/>
    <w:rsid w:val="005C59B8"/>
    <w:rsid w:val="005C78B8"/>
    <w:rsid w:val="005D058C"/>
    <w:rsid w:val="005D13DB"/>
    <w:rsid w:val="005D447B"/>
    <w:rsid w:val="005D45B0"/>
    <w:rsid w:val="005D6915"/>
    <w:rsid w:val="005D784E"/>
    <w:rsid w:val="005E1C1A"/>
    <w:rsid w:val="005E1E4A"/>
    <w:rsid w:val="005E264A"/>
    <w:rsid w:val="005E2C13"/>
    <w:rsid w:val="005E2E71"/>
    <w:rsid w:val="005E3AA2"/>
    <w:rsid w:val="005E3DD5"/>
    <w:rsid w:val="005E71E8"/>
    <w:rsid w:val="005F534B"/>
    <w:rsid w:val="005F6714"/>
    <w:rsid w:val="005F7CE6"/>
    <w:rsid w:val="006009AA"/>
    <w:rsid w:val="00600FE7"/>
    <w:rsid w:val="0060100A"/>
    <w:rsid w:val="00602B3E"/>
    <w:rsid w:val="006050B5"/>
    <w:rsid w:val="00610B3D"/>
    <w:rsid w:val="006114DC"/>
    <w:rsid w:val="006137D8"/>
    <w:rsid w:val="00613E06"/>
    <w:rsid w:val="006145A8"/>
    <w:rsid w:val="006153B8"/>
    <w:rsid w:val="0061706B"/>
    <w:rsid w:val="00617367"/>
    <w:rsid w:val="00621AC2"/>
    <w:rsid w:val="006233F9"/>
    <w:rsid w:val="00623E88"/>
    <w:rsid w:val="00625954"/>
    <w:rsid w:val="00625D18"/>
    <w:rsid w:val="006260D5"/>
    <w:rsid w:val="006271A1"/>
    <w:rsid w:val="00631B38"/>
    <w:rsid w:val="0063219E"/>
    <w:rsid w:val="00634059"/>
    <w:rsid w:val="0063448C"/>
    <w:rsid w:val="00634C42"/>
    <w:rsid w:val="0063635C"/>
    <w:rsid w:val="0063659A"/>
    <w:rsid w:val="00640815"/>
    <w:rsid w:val="00640C4A"/>
    <w:rsid w:val="006422B8"/>
    <w:rsid w:val="006461BA"/>
    <w:rsid w:val="006462FF"/>
    <w:rsid w:val="00646C2D"/>
    <w:rsid w:val="00650D1F"/>
    <w:rsid w:val="006521A0"/>
    <w:rsid w:val="00652239"/>
    <w:rsid w:val="006543AB"/>
    <w:rsid w:val="00656037"/>
    <w:rsid w:val="00657B18"/>
    <w:rsid w:val="00657D13"/>
    <w:rsid w:val="00660780"/>
    <w:rsid w:val="00662802"/>
    <w:rsid w:val="00662C5C"/>
    <w:rsid w:val="006674FF"/>
    <w:rsid w:val="006725C9"/>
    <w:rsid w:val="00674A50"/>
    <w:rsid w:val="00675011"/>
    <w:rsid w:val="006763C2"/>
    <w:rsid w:val="00676B3F"/>
    <w:rsid w:val="006772D2"/>
    <w:rsid w:val="006813AB"/>
    <w:rsid w:val="0068392E"/>
    <w:rsid w:val="00684C17"/>
    <w:rsid w:val="00692FE9"/>
    <w:rsid w:val="00693F3D"/>
    <w:rsid w:val="00694018"/>
    <w:rsid w:val="0069474F"/>
    <w:rsid w:val="00695077"/>
    <w:rsid w:val="00697207"/>
    <w:rsid w:val="006A0576"/>
    <w:rsid w:val="006A107A"/>
    <w:rsid w:val="006A2404"/>
    <w:rsid w:val="006A311C"/>
    <w:rsid w:val="006A57B6"/>
    <w:rsid w:val="006A6276"/>
    <w:rsid w:val="006B14A4"/>
    <w:rsid w:val="006B5CC0"/>
    <w:rsid w:val="006B711F"/>
    <w:rsid w:val="006B7AC0"/>
    <w:rsid w:val="006C4387"/>
    <w:rsid w:val="006C4FEB"/>
    <w:rsid w:val="006D0B64"/>
    <w:rsid w:val="006D1193"/>
    <w:rsid w:val="006D42FB"/>
    <w:rsid w:val="006D6D53"/>
    <w:rsid w:val="006E0BFE"/>
    <w:rsid w:val="006E0F9F"/>
    <w:rsid w:val="006E1294"/>
    <w:rsid w:val="006E13AD"/>
    <w:rsid w:val="006E247A"/>
    <w:rsid w:val="006E2A50"/>
    <w:rsid w:val="006E33A7"/>
    <w:rsid w:val="006E4695"/>
    <w:rsid w:val="006E6810"/>
    <w:rsid w:val="006F1949"/>
    <w:rsid w:val="006F2F80"/>
    <w:rsid w:val="006F3015"/>
    <w:rsid w:val="006F4B28"/>
    <w:rsid w:val="006F5DC7"/>
    <w:rsid w:val="007015D9"/>
    <w:rsid w:val="00713896"/>
    <w:rsid w:val="00723298"/>
    <w:rsid w:val="00724136"/>
    <w:rsid w:val="00731144"/>
    <w:rsid w:val="007322D5"/>
    <w:rsid w:val="007360EF"/>
    <w:rsid w:val="007369A3"/>
    <w:rsid w:val="00742E51"/>
    <w:rsid w:val="00742FF9"/>
    <w:rsid w:val="00743DAE"/>
    <w:rsid w:val="00746401"/>
    <w:rsid w:val="00747416"/>
    <w:rsid w:val="00751330"/>
    <w:rsid w:val="00752131"/>
    <w:rsid w:val="00757460"/>
    <w:rsid w:val="00771444"/>
    <w:rsid w:val="007716B1"/>
    <w:rsid w:val="007723B3"/>
    <w:rsid w:val="00773F26"/>
    <w:rsid w:val="00774023"/>
    <w:rsid w:val="007759B8"/>
    <w:rsid w:val="00781B26"/>
    <w:rsid w:val="00783E52"/>
    <w:rsid w:val="00786F55"/>
    <w:rsid w:val="00794A7B"/>
    <w:rsid w:val="00796536"/>
    <w:rsid w:val="007A1580"/>
    <w:rsid w:val="007A1EF1"/>
    <w:rsid w:val="007A2DDF"/>
    <w:rsid w:val="007A42E1"/>
    <w:rsid w:val="007B018F"/>
    <w:rsid w:val="007B189F"/>
    <w:rsid w:val="007B1FF0"/>
    <w:rsid w:val="007B2105"/>
    <w:rsid w:val="007B6156"/>
    <w:rsid w:val="007B7F36"/>
    <w:rsid w:val="007C48E9"/>
    <w:rsid w:val="007C6BD2"/>
    <w:rsid w:val="007C6C1F"/>
    <w:rsid w:val="007C7A56"/>
    <w:rsid w:val="007D2011"/>
    <w:rsid w:val="007D21C8"/>
    <w:rsid w:val="007D6338"/>
    <w:rsid w:val="007E1B01"/>
    <w:rsid w:val="007E1F39"/>
    <w:rsid w:val="007E2CE8"/>
    <w:rsid w:val="007E2D55"/>
    <w:rsid w:val="007E5B2C"/>
    <w:rsid w:val="007F1BB8"/>
    <w:rsid w:val="007F2129"/>
    <w:rsid w:val="007F3E11"/>
    <w:rsid w:val="007F42A2"/>
    <w:rsid w:val="007F4D13"/>
    <w:rsid w:val="007F60EA"/>
    <w:rsid w:val="007F77EE"/>
    <w:rsid w:val="00800088"/>
    <w:rsid w:val="00801D91"/>
    <w:rsid w:val="00802B69"/>
    <w:rsid w:val="008058D0"/>
    <w:rsid w:val="00806DB1"/>
    <w:rsid w:val="00807E9A"/>
    <w:rsid w:val="008130CB"/>
    <w:rsid w:val="00814CB0"/>
    <w:rsid w:val="00816B34"/>
    <w:rsid w:val="00817809"/>
    <w:rsid w:val="00822549"/>
    <w:rsid w:val="00823C0C"/>
    <w:rsid w:val="00830596"/>
    <w:rsid w:val="00831E04"/>
    <w:rsid w:val="00832145"/>
    <w:rsid w:val="00832449"/>
    <w:rsid w:val="00832D98"/>
    <w:rsid w:val="008345C5"/>
    <w:rsid w:val="00835CE6"/>
    <w:rsid w:val="008405BE"/>
    <w:rsid w:val="00840BD7"/>
    <w:rsid w:val="00841AF6"/>
    <w:rsid w:val="00841FE1"/>
    <w:rsid w:val="00844678"/>
    <w:rsid w:val="00844824"/>
    <w:rsid w:val="00844ADC"/>
    <w:rsid w:val="0085109B"/>
    <w:rsid w:val="0085255C"/>
    <w:rsid w:val="00852943"/>
    <w:rsid w:val="00852BF3"/>
    <w:rsid w:val="00853BC3"/>
    <w:rsid w:val="00855CE1"/>
    <w:rsid w:val="008606F6"/>
    <w:rsid w:val="0086316D"/>
    <w:rsid w:val="00865BA1"/>
    <w:rsid w:val="00872E18"/>
    <w:rsid w:val="00872FD4"/>
    <w:rsid w:val="00873166"/>
    <w:rsid w:val="00874268"/>
    <w:rsid w:val="008756FD"/>
    <w:rsid w:val="00881DE6"/>
    <w:rsid w:val="00884BF8"/>
    <w:rsid w:val="00885996"/>
    <w:rsid w:val="00885E9C"/>
    <w:rsid w:val="00886568"/>
    <w:rsid w:val="008869A7"/>
    <w:rsid w:val="00890B26"/>
    <w:rsid w:val="008927E5"/>
    <w:rsid w:val="008A63CC"/>
    <w:rsid w:val="008A77ED"/>
    <w:rsid w:val="008B09EF"/>
    <w:rsid w:val="008B1957"/>
    <w:rsid w:val="008B48FA"/>
    <w:rsid w:val="008B49E2"/>
    <w:rsid w:val="008B7BE8"/>
    <w:rsid w:val="008C0EB9"/>
    <w:rsid w:val="008C40A8"/>
    <w:rsid w:val="008C5891"/>
    <w:rsid w:val="008C5E24"/>
    <w:rsid w:val="008C681A"/>
    <w:rsid w:val="008D2CB1"/>
    <w:rsid w:val="008D6A7D"/>
    <w:rsid w:val="008D6C0C"/>
    <w:rsid w:val="008E038B"/>
    <w:rsid w:val="008E21DB"/>
    <w:rsid w:val="008E2FEE"/>
    <w:rsid w:val="008E5603"/>
    <w:rsid w:val="008F103D"/>
    <w:rsid w:val="008F1752"/>
    <w:rsid w:val="008F2043"/>
    <w:rsid w:val="008F2129"/>
    <w:rsid w:val="008F2508"/>
    <w:rsid w:val="008F2653"/>
    <w:rsid w:val="008F2BBD"/>
    <w:rsid w:val="008F383A"/>
    <w:rsid w:val="008F424F"/>
    <w:rsid w:val="008F5767"/>
    <w:rsid w:val="008F5C35"/>
    <w:rsid w:val="008F72E0"/>
    <w:rsid w:val="008F7654"/>
    <w:rsid w:val="008F7898"/>
    <w:rsid w:val="00901DB2"/>
    <w:rsid w:val="009062CF"/>
    <w:rsid w:val="00907BD4"/>
    <w:rsid w:val="00911565"/>
    <w:rsid w:val="0091214F"/>
    <w:rsid w:val="009124AB"/>
    <w:rsid w:val="00915594"/>
    <w:rsid w:val="00915B19"/>
    <w:rsid w:val="009162A9"/>
    <w:rsid w:val="009166E6"/>
    <w:rsid w:val="0091770D"/>
    <w:rsid w:val="00920EE0"/>
    <w:rsid w:val="00923EAD"/>
    <w:rsid w:val="0092535B"/>
    <w:rsid w:val="0092564A"/>
    <w:rsid w:val="00932E14"/>
    <w:rsid w:val="00935D1B"/>
    <w:rsid w:val="00937DDF"/>
    <w:rsid w:val="00940146"/>
    <w:rsid w:val="00942ACB"/>
    <w:rsid w:val="00945A8C"/>
    <w:rsid w:val="00946E6B"/>
    <w:rsid w:val="009504B5"/>
    <w:rsid w:val="00950AE7"/>
    <w:rsid w:val="00952406"/>
    <w:rsid w:val="00955263"/>
    <w:rsid w:val="00960968"/>
    <w:rsid w:val="00962161"/>
    <w:rsid w:val="00964748"/>
    <w:rsid w:val="00964DBA"/>
    <w:rsid w:val="00965027"/>
    <w:rsid w:val="0096578A"/>
    <w:rsid w:val="00971EAC"/>
    <w:rsid w:val="00980294"/>
    <w:rsid w:val="00980B8C"/>
    <w:rsid w:val="0098148D"/>
    <w:rsid w:val="0098357A"/>
    <w:rsid w:val="00983AB0"/>
    <w:rsid w:val="00984C64"/>
    <w:rsid w:val="0098579D"/>
    <w:rsid w:val="00985F95"/>
    <w:rsid w:val="00987193"/>
    <w:rsid w:val="0098759C"/>
    <w:rsid w:val="009905FF"/>
    <w:rsid w:val="009914B7"/>
    <w:rsid w:val="00994632"/>
    <w:rsid w:val="009975B7"/>
    <w:rsid w:val="00997F6F"/>
    <w:rsid w:val="009A08EC"/>
    <w:rsid w:val="009A25EB"/>
    <w:rsid w:val="009A3126"/>
    <w:rsid w:val="009A503C"/>
    <w:rsid w:val="009A547F"/>
    <w:rsid w:val="009A77D2"/>
    <w:rsid w:val="009A7976"/>
    <w:rsid w:val="009B1DBF"/>
    <w:rsid w:val="009B4484"/>
    <w:rsid w:val="009B470C"/>
    <w:rsid w:val="009C01C0"/>
    <w:rsid w:val="009C01CB"/>
    <w:rsid w:val="009C0615"/>
    <w:rsid w:val="009C4207"/>
    <w:rsid w:val="009C5017"/>
    <w:rsid w:val="009C54C4"/>
    <w:rsid w:val="009C5AEE"/>
    <w:rsid w:val="009C64CC"/>
    <w:rsid w:val="009C69D0"/>
    <w:rsid w:val="009C75BB"/>
    <w:rsid w:val="009C7F8A"/>
    <w:rsid w:val="009D14DE"/>
    <w:rsid w:val="009D176A"/>
    <w:rsid w:val="009D58CD"/>
    <w:rsid w:val="009D59B1"/>
    <w:rsid w:val="009D7B28"/>
    <w:rsid w:val="009E0166"/>
    <w:rsid w:val="009E132B"/>
    <w:rsid w:val="009E178C"/>
    <w:rsid w:val="009E1C3F"/>
    <w:rsid w:val="009E246B"/>
    <w:rsid w:val="009E2DAA"/>
    <w:rsid w:val="009E34DA"/>
    <w:rsid w:val="009E69EE"/>
    <w:rsid w:val="009E6E53"/>
    <w:rsid w:val="009E6FA8"/>
    <w:rsid w:val="009F0139"/>
    <w:rsid w:val="009F0F68"/>
    <w:rsid w:val="009F3042"/>
    <w:rsid w:val="009F533B"/>
    <w:rsid w:val="009F7BF5"/>
    <w:rsid w:val="009F7D32"/>
    <w:rsid w:val="00A04056"/>
    <w:rsid w:val="00A0561C"/>
    <w:rsid w:val="00A05E2B"/>
    <w:rsid w:val="00A10A9F"/>
    <w:rsid w:val="00A11599"/>
    <w:rsid w:val="00A17829"/>
    <w:rsid w:val="00A2057C"/>
    <w:rsid w:val="00A23A58"/>
    <w:rsid w:val="00A2676F"/>
    <w:rsid w:val="00A32CD2"/>
    <w:rsid w:val="00A34489"/>
    <w:rsid w:val="00A40C62"/>
    <w:rsid w:val="00A40F2B"/>
    <w:rsid w:val="00A41709"/>
    <w:rsid w:val="00A424C9"/>
    <w:rsid w:val="00A44151"/>
    <w:rsid w:val="00A447BA"/>
    <w:rsid w:val="00A47400"/>
    <w:rsid w:val="00A50839"/>
    <w:rsid w:val="00A53497"/>
    <w:rsid w:val="00A54060"/>
    <w:rsid w:val="00A54A0B"/>
    <w:rsid w:val="00A56DE0"/>
    <w:rsid w:val="00A57BBB"/>
    <w:rsid w:val="00A57FBC"/>
    <w:rsid w:val="00A62770"/>
    <w:rsid w:val="00A63E76"/>
    <w:rsid w:val="00A6520B"/>
    <w:rsid w:val="00A65DBE"/>
    <w:rsid w:val="00A6623C"/>
    <w:rsid w:val="00A670F9"/>
    <w:rsid w:val="00A70EB4"/>
    <w:rsid w:val="00A714A1"/>
    <w:rsid w:val="00A741C1"/>
    <w:rsid w:val="00A743AB"/>
    <w:rsid w:val="00A74DFE"/>
    <w:rsid w:val="00A75095"/>
    <w:rsid w:val="00A75A78"/>
    <w:rsid w:val="00A85078"/>
    <w:rsid w:val="00A850E2"/>
    <w:rsid w:val="00A85C53"/>
    <w:rsid w:val="00A87054"/>
    <w:rsid w:val="00A87724"/>
    <w:rsid w:val="00A9054F"/>
    <w:rsid w:val="00A92A68"/>
    <w:rsid w:val="00A93EE4"/>
    <w:rsid w:val="00A94521"/>
    <w:rsid w:val="00A950A1"/>
    <w:rsid w:val="00A953A9"/>
    <w:rsid w:val="00A96CC9"/>
    <w:rsid w:val="00A97694"/>
    <w:rsid w:val="00A9797C"/>
    <w:rsid w:val="00AA03EE"/>
    <w:rsid w:val="00AA089A"/>
    <w:rsid w:val="00AA4DE9"/>
    <w:rsid w:val="00AB073E"/>
    <w:rsid w:val="00AB1016"/>
    <w:rsid w:val="00AB20FE"/>
    <w:rsid w:val="00AB22F9"/>
    <w:rsid w:val="00AB37AA"/>
    <w:rsid w:val="00AB4F56"/>
    <w:rsid w:val="00AB501E"/>
    <w:rsid w:val="00AB56C7"/>
    <w:rsid w:val="00AB602C"/>
    <w:rsid w:val="00AC12A5"/>
    <w:rsid w:val="00AC4597"/>
    <w:rsid w:val="00AC4A2B"/>
    <w:rsid w:val="00AC6AA7"/>
    <w:rsid w:val="00AC78FF"/>
    <w:rsid w:val="00AC7AA5"/>
    <w:rsid w:val="00AD0C2F"/>
    <w:rsid w:val="00AD5D0E"/>
    <w:rsid w:val="00AD6F9F"/>
    <w:rsid w:val="00AD7A21"/>
    <w:rsid w:val="00AE065F"/>
    <w:rsid w:val="00AE1B5F"/>
    <w:rsid w:val="00AE1DBE"/>
    <w:rsid w:val="00AE55E6"/>
    <w:rsid w:val="00AF0B91"/>
    <w:rsid w:val="00AF1EA6"/>
    <w:rsid w:val="00AF2CD5"/>
    <w:rsid w:val="00AF38EC"/>
    <w:rsid w:val="00AF3DB6"/>
    <w:rsid w:val="00AF4BCC"/>
    <w:rsid w:val="00AF7BFF"/>
    <w:rsid w:val="00B04995"/>
    <w:rsid w:val="00B04A76"/>
    <w:rsid w:val="00B04E47"/>
    <w:rsid w:val="00B07972"/>
    <w:rsid w:val="00B127C0"/>
    <w:rsid w:val="00B129F1"/>
    <w:rsid w:val="00B15695"/>
    <w:rsid w:val="00B16477"/>
    <w:rsid w:val="00B16B4C"/>
    <w:rsid w:val="00B16C0C"/>
    <w:rsid w:val="00B2003E"/>
    <w:rsid w:val="00B22B03"/>
    <w:rsid w:val="00B3300A"/>
    <w:rsid w:val="00B33638"/>
    <w:rsid w:val="00B352A3"/>
    <w:rsid w:val="00B35DB9"/>
    <w:rsid w:val="00B364F1"/>
    <w:rsid w:val="00B42BE8"/>
    <w:rsid w:val="00B43C75"/>
    <w:rsid w:val="00B442A6"/>
    <w:rsid w:val="00B44FE8"/>
    <w:rsid w:val="00B45EAD"/>
    <w:rsid w:val="00B5064E"/>
    <w:rsid w:val="00B50E15"/>
    <w:rsid w:val="00B50FF4"/>
    <w:rsid w:val="00B572F4"/>
    <w:rsid w:val="00B615F2"/>
    <w:rsid w:val="00B6726C"/>
    <w:rsid w:val="00B7094F"/>
    <w:rsid w:val="00B70F62"/>
    <w:rsid w:val="00B76CAE"/>
    <w:rsid w:val="00B77B6B"/>
    <w:rsid w:val="00B80E5A"/>
    <w:rsid w:val="00B83FC9"/>
    <w:rsid w:val="00B84640"/>
    <w:rsid w:val="00B87BAA"/>
    <w:rsid w:val="00B90139"/>
    <w:rsid w:val="00B90B1B"/>
    <w:rsid w:val="00B91563"/>
    <w:rsid w:val="00B91613"/>
    <w:rsid w:val="00B94060"/>
    <w:rsid w:val="00BA0A39"/>
    <w:rsid w:val="00BA3979"/>
    <w:rsid w:val="00BA5A12"/>
    <w:rsid w:val="00BA74F0"/>
    <w:rsid w:val="00BA7C8A"/>
    <w:rsid w:val="00BB08C4"/>
    <w:rsid w:val="00BB12C8"/>
    <w:rsid w:val="00BB2AB1"/>
    <w:rsid w:val="00BB31D6"/>
    <w:rsid w:val="00BB3571"/>
    <w:rsid w:val="00BB51CD"/>
    <w:rsid w:val="00BB544D"/>
    <w:rsid w:val="00BB6967"/>
    <w:rsid w:val="00BC12D6"/>
    <w:rsid w:val="00BC2ADB"/>
    <w:rsid w:val="00BC2D14"/>
    <w:rsid w:val="00BC3A26"/>
    <w:rsid w:val="00BC3AA7"/>
    <w:rsid w:val="00BC4189"/>
    <w:rsid w:val="00BC5A1B"/>
    <w:rsid w:val="00BC65C6"/>
    <w:rsid w:val="00BC6BD8"/>
    <w:rsid w:val="00BC6D2A"/>
    <w:rsid w:val="00BC7F56"/>
    <w:rsid w:val="00BD2A87"/>
    <w:rsid w:val="00BD2CDB"/>
    <w:rsid w:val="00BD3701"/>
    <w:rsid w:val="00BD4C3F"/>
    <w:rsid w:val="00BD4C67"/>
    <w:rsid w:val="00BD5C80"/>
    <w:rsid w:val="00BE1315"/>
    <w:rsid w:val="00BE17F9"/>
    <w:rsid w:val="00BE26C2"/>
    <w:rsid w:val="00BE2C17"/>
    <w:rsid w:val="00BE3A3F"/>
    <w:rsid w:val="00BE4C41"/>
    <w:rsid w:val="00BE73E7"/>
    <w:rsid w:val="00BF164F"/>
    <w:rsid w:val="00BF1FAB"/>
    <w:rsid w:val="00BF295D"/>
    <w:rsid w:val="00BF4E21"/>
    <w:rsid w:val="00BF6B83"/>
    <w:rsid w:val="00C0258D"/>
    <w:rsid w:val="00C02D48"/>
    <w:rsid w:val="00C03694"/>
    <w:rsid w:val="00C04033"/>
    <w:rsid w:val="00C04CF3"/>
    <w:rsid w:val="00C14407"/>
    <w:rsid w:val="00C16C10"/>
    <w:rsid w:val="00C17CA1"/>
    <w:rsid w:val="00C214D1"/>
    <w:rsid w:val="00C26188"/>
    <w:rsid w:val="00C27492"/>
    <w:rsid w:val="00C27841"/>
    <w:rsid w:val="00C32804"/>
    <w:rsid w:val="00C33190"/>
    <w:rsid w:val="00C33F4D"/>
    <w:rsid w:val="00C37A8E"/>
    <w:rsid w:val="00C429E8"/>
    <w:rsid w:val="00C45DAA"/>
    <w:rsid w:val="00C53717"/>
    <w:rsid w:val="00C5398C"/>
    <w:rsid w:val="00C556F5"/>
    <w:rsid w:val="00C559C6"/>
    <w:rsid w:val="00C55F11"/>
    <w:rsid w:val="00C56271"/>
    <w:rsid w:val="00C56697"/>
    <w:rsid w:val="00C62B8C"/>
    <w:rsid w:val="00C727D4"/>
    <w:rsid w:val="00C72AB3"/>
    <w:rsid w:val="00C73182"/>
    <w:rsid w:val="00C732FD"/>
    <w:rsid w:val="00C746EC"/>
    <w:rsid w:val="00C749F9"/>
    <w:rsid w:val="00C753A9"/>
    <w:rsid w:val="00C7709F"/>
    <w:rsid w:val="00C77D8C"/>
    <w:rsid w:val="00C80BAE"/>
    <w:rsid w:val="00C826FA"/>
    <w:rsid w:val="00C85BD6"/>
    <w:rsid w:val="00C865AD"/>
    <w:rsid w:val="00C908FA"/>
    <w:rsid w:val="00C91A38"/>
    <w:rsid w:val="00C93BC6"/>
    <w:rsid w:val="00CA2D28"/>
    <w:rsid w:val="00CA4C8F"/>
    <w:rsid w:val="00CB129A"/>
    <w:rsid w:val="00CB420C"/>
    <w:rsid w:val="00CB43E3"/>
    <w:rsid w:val="00CB551B"/>
    <w:rsid w:val="00CB59A6"/>
    <w:rsid w:val="00CB69A6"/>
    <w:rsid w:val="00CC0370"/>
    <w:rsid w:val="00CC0921"/>
    <w:rsid w:val="00CC189B"/>
    <w:rsid w:val="00CC18E4"/>
    <w:rsid w:val="00CC1960"/>
    <w:rsid w:val="00CC2AA2"/>
    <w:rsid w:val="00CC479B"/>
    <w:rsid w:val="00CD0C49"/>
    <w:rsid w:val="00CD7596"/>
    <w:rsid w:val="00CE4BDC"/>
    <w:rsid w:val="00CE532B"/>
    <w:rsid w:val="00CE7599"/>
    <w:rsid w:val="00CE7D4E"/>
    <w:rsid w:val="00CF00A7"/>
    <w:rsid w:val="00CF16B5"/>
    <w:rsid w:val="00CF170E"/>
    <w:rsid w:val="00CF2915"/>
    <w:rsid w:val="00CF4C52"/>
    <w:rsid w:val="00CF53EC"/>
    <w:rsid w:val="00CF5E0B"/>
    <w:rsid w:val="00D007E2"/>
    <w:rsid w:val="00D01D79"/>
    <w:rsid w:val="00D01EF5"/>
    <w:rsid w:val="00D0227B"/>
    <w:rsid w:val="00D025B9"/>
    <w:rsid w:val="00D030EB"/>
    <w:rsid w:val="00D06A91"/>
    <w:rsid w:val="00D06BB8"/>
    <w:rsid w:val="00D0712D"/>
    <w:rsid w:val="00D07353"/>
    <w:rsid w:val="00D079F2"/>
    <w:rsid w:val="00D10AD2"/>
    <w:rsid w:val="00D12DE6"/>
    <w:rsid w:val="00D1336E"/>
    <w:rsid w:val="00D13EEA"/>
    <w:rsid w:val="00D13EEE"/>
    <w:rsid w:val="00D1520E"/>
    <w:rsid w:val="00D1615F"/>
    <w:rsid w:val="00D2172F"/>
    <w:rsid w:val="00D22110"/>
    <w:rsid w:val="00D231D8"/>
    <w:rsid w:val="00D23235"/>
    <w:rsid w:val="00D243EB"/>
    <w:rsid w:val="00D25875"/>
    <w:rsid w:val="00D306C4"/>
    <w:rsid w:val="00D32826"/>
    <w:rsid w:val="00D32A23"/>
    <w:rsid w:val="00D33D7F"/>
    <w:rsid w:val="00D3530E"/>
    <w:rsid w:val="00D408CD"/>
    <w:rsid w:val="00D416F9"/>
    <w:rsid w:val="00D45757"/>
    <w:rsid w:val="00D46ADE"/>
    <w:rsid w:val="00D47F3B"/>
    <w:rsid w:val="00D549BE"/>
    <w:rsid w:val="00D565A9"/>
    <w:rsid w:val="00D608CF"/>
    <w:rsid w:val="00D6146B"/>
    <w:rsid w:val="00D62BD0"/>
    <w:rsid w:val="00D6363D"/>
    <w:rsid w:val="00D650B3"/>
    <w:rsid w:val="00D7047F"/>
    <w:rsid w:val="00D71EF5"/>
    <w:rsid w:val="00D7274D"/>
    <w:rsid w:val="00D74109"/>
    <w:rsid w:val="00D764A4"/>
    <w:rsid w:val="00D805C4"/>
    <w:rsid w:val="00D80701"/>
    <w:rsid w:val="00D81D38"/>
    <w:rsid w:val="00D8416E"/>
    <w:rsid w:val="00D85399"/>
    <w:rsid w:val="00D918F6"/>
    <w:rsid w:val="00D92771"/>
    <w:rsid w:val="00D92D46"/>
    <w:rsid w:val="00DA0945"/>
    <w:rsid w:val="00DA1453"/>
    <w:rsid w:val="00DA4B22"/>
    <w:rsid w:val="00DA5F85"/>
    <w:rsid w:val="00DB03D7"/>
    <w:rsid w:val="00DB0C7A"/>
    <w:rsid w:val="00DB2A5B"/>
    <w:rsid w:val="00DB69F8"/>
    <w:rsid w:val="00DB7E9B"/>
    <w:rsid w:val="00DC0347"/>
    <w:rsid w:val="00DC4651"/>
    <w:rsid w:val="00DC5028"/>
    <w:rsid w:val="00DC5A14"/>
    <w:rsid w:val="00DC5B62"/>
    <w:rsid w:val="00DC631E"/>
    <w:rsid w:val="00DC7977"/>
    <w:rsid w:val="00DD18DF"/>
    <w:rsid w:val="00DD3B93"/>
    <w:rsid w:val="00DE2FCD"/>
    <w:rsid w:val="00DE3F35"/>
    <w:rsid w:val="00DE5C72"/>
    <w:rsid w:val="00DE7180"/>
    <w:rsid w:val="00DE7649"/>
    <w:rsid w:val="00DF0BB1"/>
    <w:rsid w:val="00DF47DA"/>
    <w:rsid w:val="00DF60E0"/>
    <w:rsid w:val="00E01719"/>
    <w:rsid w:val="00E03DA4"/>
    <w:rsid w:val="00E046B7"/>
    <w:rsid w:val="00E04F63"/>
    <w:rsid w:val="00E11295"/>
    <w:rsid w:val="00E147FE"/>
    <w:rsid w:val="00E157B2"/>
    <w:rsid w:val="00E209A2"/>
    <w:rsid w:val="00E24640"/>
    <w:rsid w:val="00E2693E"/>
    <w:rsid w:val="00E26FC1"/>
    <w:rsid w:val="00E2753D"/>
    <w:rsid w:val="00E42538"/>
    <w:rsid w:val="00E42E1A"/>
    <w:rsid w:val="00E43AE6"/>
    <w:rsid w:val="00E466C7"/>
    <w:rsid w:val="00E47D67"/>
    <w:rsid w:val="00E50BAD"/>
    <w:rsid w:val="00E548F7"/>
    <w:rsid w:val="00E5646C"/>
    <w:rsid w:val="00E60CC3"/>
    <w:rsid w:val="00E61E6E"/>
    <w:rsid w:val="00E626B5"/>
    <w:rsid w:val="00E63C0E"/>
    <w:rsid w:val="00E669AB"/>
    <w:rsid w:val="00E70467"/>
    <w:rsid w:val="00E726E9"/>
    <w:rsid w:val="00E73CF6"/>
    <w:rsid w:val="00E74AAD"/>
    <w:rsid w:val="00E74AD5"/>
    <w:rsid w:val="00E761D1"/>
    <w:rsid w:val="00E76CA9"/>
    <w:rsid w:val="00E76DDA"/>
    <w:rsid w:val="00E77B3C"/>
    <w:rsid w:val="00E80B4E"/>
    <w:rsid w:val="00E84A32"/>
    <w:rsid w:val="00E8513D"/>
    <w:rsid w:val="00E869B5"/>
    <w:rsid w:val="00E86D0D"/>
    <w:rsid w:val="00E90AB0"/>
    <w:rsid w:val="00E93016"/>
    <w:rsid w:val="00E95F9F"/>
    <w:rsid w:val="00EA2D16"/>
    <w:rsid w:val="00EA3011"/>
    <w:rsid w:val="00EA3585"/>
    <w:rsid w:val="00EA6251"/>
    <w:rsid w:val="00EA7581"/>
    <w:rsid w:val="00EB0A68"/>
    <w:rsid w:val="00EB20EB"/>
    <w:rsid w:val="00EB22F8"/>
    <w:rsid w:val="00EB30D5"/>
    <w:rsid w:val="00EB47DC"/>
    <w:rsid w:val="00EB4C63"/>
    <w:rsid w:val="00EB5C16"/>
    <w:rsid w:val="00EB67A8"/>
    <w:rsid w:val="00EC1A1D"/>
    <w:rsid w:val="00EC4A4B"/>
    <w:rsid w:val="00EC59B0"/>
    <w:rsid w:val="00EC59CA"/>
    <w:rsid w:val="00ED008C"/>
    <w:rsid w:val="00ED119E"/>
    <w:rsid w:val="00ED4D65"/>
    <w:rsid w:val="00ED4EE5"/>
    <w:rsid w:val="00ED514B"/>
    <w:rsid w:val="00ED6851"/>
    <w:rsid w:val="00EE0497"/>
    <w:rsid w:val="00EE1952"/>
    <w:rsid w:val="00EE6E44"/>
    <w:rsid w:val="00EF0A44"/>
    <w:rsid w:val="00EF2CDC"/>
    <w:rsid w:val="00EF5040"/>
    <w:rsid w:val="00EF6621"/>
    <w:rsid w:val="00EF6F15"/>
    <w:rsid w:val="00EF72DC"/>
    <w:rsid w:val="00F005BA"/>
    <w:rsid w:val="00F025ED"/>
    <w:rsid w:val="00F05117"/>
    <w:rsid w:val="00F06534"/>
    <w:rsid w:val="00F0671A"/>
    <w:rsid w:val="00F06CD5"/>
    <w:rsid w:val="00F07083"/>
    <w:rsid w:val="00F103B7"/>
    <w:rsid w:val="00F120E2"/>
    <w:rsid w:val="00F1515B"/>
    <w:rsid w:val="00F1749B"/>
    <w:rsid w:val="00F2089C"/>
    <w:rsid w:val="00F22C2D"/>
    <w:rsid w:val="00F23773"/>
    <w:rsid w:val="00F27637"/>
    <w:rsid w:val="00F30099"/>
    <w:rsid w:val="00F30F56"/>
    <w:rsid w:val="00F3248C"/>
    <w:rsid w:val="00F32A56"/>
    <w:rsid w:val="00F3371D"/>
    <w:rsid w:val="00F33E75"/>
    <w:rsid w:val="00F34F75"/>
    <w:rsid w:val="00F357C4"/>
    <w:rsid w:val="00F37572"/>
    <w:rsid w:val="00F41A88"/>
    <w:rsid w:val="00F43E70"/>
    <w:rsid w:val="00F4403D"/>
    <w:rsid w:val="00F44E3D"/>
    <w:rsid w:val="00F44E7B"/>
    <w:rsid w:val="00F456A1"/>
    <w:rsid w:val="00F46CF3"/>
    <w:rsid w:val="00F479BE"/>
    <w:rsid w:val="00F512F1"/>
    <w:rsid w:val="00F53836"/>
    <w:rsid w:val="00F56048"/>
    <w:rsid w:val="00F566A0"/>
    <w:rsid w:val="00F57A90"/>
    <w:rsid w:val="00F57AAA"/>
    <w:rsid w:val="00F62E47"/>
    <w:rsid w:val="00F63A6A"/>
    <w:rsid w:val="00F66108"/>
    <w:rsid w:val="00F66F36"/>
    <w:rsid w:val="00F70D63"/>
    <w:rsid w:val="00F70DEF"/>
    <w:rsid w:val="00F70F66"/>
    <w:rsid w:val="00F72880"/>
    <w:rsid w:val="00F750A7"/>
    <w:rsid w:val="00F75571"/>
    <w:rsid w:val="00F756AA"/>
    <w:rsid w:val="00F75D82"/>
    <w:rsid w:val="00F82209"/>
    <w:rsid w:val="00F83D80"/>
    <w:rsid w:val="00F84831"/>
    <w:rsid w:val="00F91766"/>
    <w:rsid w:val="00F927D1"/>
    <w:rsid w:val="00F93E84"/>
    <w:rsid w:val="00F95844"/>
    <w:rsid w:val="00F97C1B"/>
    <w:rsid w:val="00FA0C80"/>
    <w:rsid w:val="00FA2643"/>
    <w:rsid w:val="00FA315F"/>
    <w:rsid w:val="00FA47E1"/>
    <w:rsid w:val="00FA5B19"/>
    <w:rsid w:val="00FA67AC"/>
    <w:rsid w:val="00FA7579"/>
    <w:rsid w:val="00FB0AD1"/>
    <w:rsid w:val="00FB1C45"/>
    <w:rsid w:val="00FB364D"/>
    <w:rsid w:val="00FB405F"/>
    <w:rsid w:val="00FB40D8"/>
    <w:rsid w:val="00FB5592"/>
    <w:rsid w:val="00FB63AF"/>
    <w:rsid w:val="00FB657B"/>
    <w:rsid w:val="00FC1466"/>
    <w:rsid w:val="00FC168F"/>
    <w:rsid w:val="00FC3AB2"/>
    <w:rsid w:val="00FC5ECC"/>
    <w:rsid w:val="00FC63B0"/>
    <w:rsid w:val="00FD0268"/>
    <w:rsid w:val="00FD1291"/>
    <w:rsid w:val="00FD467D"/>
    <w:rsid w:val="00FD5154"/>
    <w:rsid w:val="00FD653E"/>
    <w:rsid w:val="00FD7CA1"/>
    <w:rsid w:val="00FE0BA0"/>
    <w:rsid w:val="00FE171B"/>
    <w:rsid w:val="00FE1A69"/>
    <w:rsid w:val="00FE240B"/>
    <w:rsid w:val="00FE2BE2"/>
    <w:rsid w:val="00FE3048"/>
    <w:rsid w:val="00FE365E"/>
    <w:rsid w:val="00FE799A"/>
    <w:rsid w:val="00FF1864"/>
    <w:rsid w:val="00FF1B99"/>
    <w:rsid w:val="00FF5888"/>
    <w:rsid w:val="00FF6BDB"/>
    <w:rsid w:val="03683842"/>
    <w:rsid w:val="0570067A"/>
    <w:rsid w:val="078C5EA0"/>
    <w:rsid w:val="0B8B7DEE"/>
    <w:rsid w:val="0D163EC1"/>
    <w:rsid w:val="0F263A12"/>
    <w:rsid w:val="0FBB7517"/>
    <w:rsid w:val="12CC0BF0"/>
    <w:rsid w:val="164D1E25"/>
    <w:rsid w:val="17AD4C0B"/>
    <w:rsid w:val="18CA64BF"/>
    <w:rsid w:val="19D303A8"/>
    <w:rsid w:val="1BB014BF"/>
    <w:rsid w:val="1F611848"/>
    <w:rsid w:val="1FE45E47"/>
    <w:rsid w:val="1FF61AB3"/>
    <w:rsid w:val="25CF6A56"/>
    <w:rsid w:val="26127B33"/>
    <w:rsid w:val="26C22D58"/>
    <w:rsid w:val="27906739"/>
    <w:rsid w:val="27D53556"/>
    <w:rsid w:val="2B0D43E7"/>
    <w:rsid w:val="2FEA68D1"/>
    <w:rsid w:val="31326FC7"/>
    <w:rsid w:val="32DD5859"/>
    <w:rsid w:val="374109A3"/>
    <w:rsid w:val="37E058D7"/>
    <w:rsid w:val="41C957B5"/>
    <w:rsid w:val="428F58B3"/>
    <w:rsid w:val="42D764DC"/>
    <w:rsid w:val="445A60CB"/>
    <w:rsid w:val="47552274"/>
    <w:rsid w:val="475E4808"/>
    <w:rsid w:val="48060DA1"/>
    <w:rsid w:val="4AA222A9"/>
    <w:rsid w:val="4C6500D5"/>
    <w:rsid w:val="52C9593D"/>
    <w:rsid w:val="53614B12"/>
    <w:rsid w:val="53B113A7"/>
    <w:rsid w:val="56B02CC1"/>
    <w:rsid w:val="56F32D62"/>
    <w:rsid w:val="578B3461"/>
    <w:rsid w:val="593D795E"/>
    <w:rsid w:val="599A6232"/>
    <w:rsid w:val="59C56DF7"/>
    <w:rsid w:val="5B946CF5"/>
    <w:rsid w:val="5D3E1098"/>
    <w:rsid w:val="5D94404F"/>
    <w:rsid w:val="64E43F7F"/>
    <w:rsid w:val="66903610"/>
    <w:rsid w:val="66BD4449"/>
    <w:rsid w:val="66C12D91"/>
    <w:rsid w:val="67ED493E"/>
    <w:rsid w:val="6B167786"/>
    <w:rsid w:val="6B334EFC"/>
    <w:rsid w:val="6BA66029"/>
    <w:rsid w:val="6D6A5188"/>
    <w:rsid w:val="6D71247B"/>
    <w:rsid w:val="6EC052B8"/>
    <w:rsid w:val="70602C80"/>
    <w:rsid w:val="71867FFE"/>
    <w:rsid w:val="73D80249"/>
    <w:rsid w:val="78D51CC9"/>
    <w:rsid w:val="79510750"/>
    <w:rsid w:val="7A4D1E86"/>
    <w:rsid w:val="7AE11682"/>
    <w:rsid w:val="7DC52CCF"/>
    <w:rsid w:val="7E7707B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Emphasis"/>
    <w:basedOn w:val="2"/>
    <w:qFormat/>
    <w:uiPriority w:val="20"/>
    <w:rPr>
      <w:i/>
      <w:iCs/>
    </w:rPr>
  </w:style>
  <w:style w:type="paragraph" w:styleId="5">
    <w:name w:val="Balloon Text"/>
    <w:basedOn w:val="1"/>
    <w:link w:val="11"/>
    <w:semiHidden/>
    <w:unhideWhenUsed/>
    <w:qFormat/>
    <w:uiPriority w:val="99"/>
    <w:pPr>
      <w:spacing w:after="0" w:line="240" w:lineRule="auto"/>
    </w:pPr>
    <w:rPr>
      <w:rFonts w:ascii="Segoe UI" w:hAnsi="Segoe UI" w:cs="Segoe UI"/>
      <w:sz w:val="18"/>
      <w:szCs w:val="18"/>
    </w:rPr>
  </w:style>
  <w:style w:type="paragraph" w:styleId="6">
    <w:name w:val="header"/>
    <w:basedOn w:val="1"/>
    <w:link w:val="12"/>
    <w:unhideWhenUsed/>
    <w:qFormat/>
    <w:uiPriority w:val="99"/>
    <w:pPr>
      <w:tabs>
        <w:tab w:val="center" w:pos="4677"/>
        <w:tab w:val="right" w:pos="9355"/>
      </w:tabs>
      <w:spacing w:after="0" w:line="240" w:lineRule="auto"/>
    </w:pPr>
  </w:style>
  <w:style w:type="paragraph" w:styleId="7">
    <w:name w:val="footer"/>
    <w:basedOn w:val="1"/>
    <w:link w:val="13"/>
    <w:unhideWhenUsed/>
    <w:qFormat/>
    <w:uiPriority w:val="99"/>
    <w:pPr>
      <w:tabs>
        <w:tab w:val="center" w:pos="4677"/>
        <w:tab w:val="right" w:pos="9355"/>
      </w:tabs>
      <w:spacing w:after="0" w:line="240" w:lineRule="auto"/>
    </w:pPr>
  </w:style>
  <w:style w:type="table" w:styleId="8">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No Spacing"/>
    <w:qFormat/>
    <w:uiPriority w:val="1"/>
    <w:rPr>
      <w:rFonts w:asciiTheme="minorHAnsi" w:hAnsiTheme="minorHAnsi" w:eastAsiaTheme="minorEastAsia" w:cstheme="minorBidi"/>
      <w:sz w:val="22"/>
      <w:szCs w:val="22"/>
      <w:lang w:val="ru-RU" w:eastAsia="ru-RU" w:bidi="ar-SA"/>
    </w:rPr>
  </w:style>
  <w:style w:type="paragraph" w:customStyle="1" w:styleId="10">
    <w:name w:val="ConsPlusNormal"/>
    <w:qFormat/>
    <w:uiPriority w:val="0"/>
    <w:pPr>
      <w:widowControl w:val="0"/>
      <w:autoSpaceDE w:val="0"/>
      <w:autoSpaceDN w:val="0"/>
      <w:adjustRightInd w:val="0"/>
      <w:ind w:firstLine="720"/>
    </w:pPr>
    <w:rPr>
      <w:rFonts w:ascii="Arial" w:hAnsi="Arial" w:eastAsia="Times New Roman" w:cs="Arial"/>
      <w:lang w:val="ru-RU" w:eastAsia="ru-RU" w:bidi="ar-SA"/>
    </w:rPr>
  </w:style>
  <w:style w:type="character" w:customStyle="1" w:styleId="11">
    <w:name w:val="Текст выноски Знак"/>
    <w:basedOn w:val="2"/>
    <w:link w:val="5"/>
    <w:semiHidden/>
    <w:qFormat/>
    <w:uiPriority w:val="99"/>
    <w:rPr>
      <w:rFonts w:ascii="Segoe UI" w:hAnsi="Segoe UI" w:cs="Segoe UI" w:eastAsiaTheme="minorEastAsia"/>
      <w:sz w:val="18"/>
      <w:szCs w:val="18"/>
      <w:lang w:eastAsia="ru-RU"/>
    </w:rPr>
  </w:style>
  <w:style w:type="character" w:customStyle="1" w:styleId="12">
    <w:name w:val="Верхний колонтитул Знак"/>
    <w:basedOn w:val="2"/>
    <w:link w:val="6"/>
    <w:qFormat/>
    <w:uiPriority w:val="99"/>
    <w:rPr>
      <w:rFonts w:eastAsiaTheme="minorEastAsia"/>
      <w:lang w:eastAsia="ru-RU"/>
    </w:rPr>
  </w:style>
  <w:style w:type="character" w:customStyle="1" w:styleId="13">
    <w:name w:val="Нижний колонтитул Знак"/>
    <w:basedOn w:val="2"/>
    <w:link w:val="7"/>
    <w:qFormat/>
    <w:uiPriority w:val="99"/>
    <w:rPr>
      <w:rFonts w:eastAsiaTheme="minorEastAsia"/>
      <w:lang w:eastAsia="ru-RU"/>
    </w:rPr>
  </w:style>
  <w:style w:type="paragraph" w:styleId="14">
    <w:name w:val="List Paragraph"/>
    <w:basedOn w:val="1"/>
    <w:qFormat/>
    <w:uiPriority w:val="34"/>
    <w:pPr>
      <w:ind w:left="720"/>
      <w:contextualSpacing/>
    </w:pPr>
  </w:style>
  <w:style w:type="paragraph" w:customStyle="1" w:styleId="15">
    <w:name w:val="List Paragraph1"/>
    <w:basedOn w:val="1"/>
    <w:qFormat/>
    <w:uiPriority w:val="0"/>
    <w:pPr>
      <w:spacing w:after="160" w:line="259" w:lineRule="auto"/>
      <w:ind w:left="720"/>
    </w:pPr>
    <w:rPr>
      <w:rFonts w:ascii="Calibri" w:hAnsi="Calibri" w:eastAsia="Times New Roman" w:cs="Times New Roman"/>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Reanimator Extreme Edition</Company>
  <Pages>7</Pages>
  <Words>1707</Words>
  <Characters>9734</Characters>
  <Lines>81</Lines>
  <Paragraphs>22</Paragraphs>
  <TotalTime>24</TotalTime>
  <ScaleCrop>false</ScaleCrop>
  <LinksUpToDate>false</LinksUpToDate>
  <CharactersWithSpaces>11419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2025-11-24T09:40:00Z</dcterms:created>
  <dc:creator>user</dc:creator>
  <cp:lastModifiedBy>Professional</cp:lastModifiedBy>
  <cp:lastPrinted>2025-02-12T13:12:00Z</cp:lastPrinted>
  <dcterms:modified xsi:type="dcterms:W3CDTF">2025-11-24T10:35:23Z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EADCCFD2EB5643879EBD75DCB55F97BA_13</vt:lpwstr>
  </property>
</Properties>
</file>